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/>
          <w:b/>
          <w:sz w:val="36"/>
        </w:rPr>
        <w:t>Расчет СТО для банка: кредит 30 млн ₸ и DSCR</w:t>
      </w:r>
    </w:p>
    <w:p>
      <w:pPr>
        <w:spacing w:after="120"/>
      </w:pPr>
      <w:r>
        <w:rPr>
          <w:rFonts w:ascii="Arial" w:hAnsi="Arial"/>
          <w:b w:val="0"/>
        </w:rPr>
        <w:t>Бизнес Проект · www.biz-plan.kz · +7 (702) 286-58-26</w:t>
      </w:r>
    </w:p>
    <w:p>
      <w:pPr>
        <w:spacing w:after="120"/>
      </w:pPr>
      <w:r>
        <w:rPr>
          <w:rFonts w:ascii="Arial" w:hAnsi="Arial"/>
          <w:b w:val="0"/>
        </w:rPr>
        <w:t>Проверено 28.10.2026. Нужна модель под вашу сделку – закажите разработку (https://www.biz-plan.kz/biznes-plan-dlya-banka.html).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1. Заполненное резюме проекта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Параметр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Расчетный вариант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Мой проект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Бизнес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СТО в Усть-Каменогорске, действующая команда переезжает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__________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Услуги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Ремонт автомобилей населения, без продажи запчастей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__________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Форма и режим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ИП на упрощенной декларации, 2%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__________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Помещение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Покупка 350 м², четыре плановых поста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__________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Кредит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30 000 000 ₸ на покупку помещения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__________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Срок и ставка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60 месяцев, номинальные 25,25%, аннуитет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__________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Смета и свои деньги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41 236 615 ₸ всего; 11 236 615 ₸ своих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__________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Погашение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Поток оплаченных ремонтных работ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__________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Рабочий месяц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Поток до долга 1 101 613 ₸, DSCR 1,24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__________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Риск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При продажах −20% DSCR 0,81; первый месяц требует резерва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__________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Все объемы, средний чек, доля оплаты мастерам и лимиты затрат заложены для модели. Это не отчетность продавца объекта. Цены предложений, нормы и тарифы указаны со ссылками. Предполагаются оплаченные продажи, постоянный запас расходников и отсутствие старых займов/лизинга. Клиенты приобретают запчасти самостоятельно.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2. Инвестиционная смета и источники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Статья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Основание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Сумма, ₸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Помещение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Предложение на Орманды, 12/2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35 000 000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Три подъемника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3 × 762 205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2 286 615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Монтаж и подготовка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Заложенный лимит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500 000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Комиссия за заем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0,5% от 30 млн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150 000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Проверка, оформление, оценка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Заложенный общий лимит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300 000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Денежный резерв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Собственные деньги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3 000 000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/>
                <w:sz w:val="18"/>
              </w:rPr>
              <w:t>Всего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/>
                <w:sz w:val="18"/>
              </w:rPr>
              <w:t>Расходы и резерв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/>
                <w:sz w:val="18"/>
              </w:rPr>
              <w:t>41 236 615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Кредит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В покупку помещения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30 000 000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/>
                <w:sz w:val="18"/>
              </w:rPr>
              <w:t>Собственные средства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/>
                <w:sz w:val="18"/>
              </w:rPr>
              <w:t>Оставшаяся часть сметы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/>
                <w:sz w:val="18"/>
              </w:rPr>
              <w:t>11 236 615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Ручные инструменты и диагностика переносятся с прежнего места. В описании объекта указан один подъемник; три новых добавляются для четырех плановых постов. Состояние оборудования, технические условия установки и размещение проверяются до сделки. Отдельная покупка стенда сход-развала в смету не включена.</w:t>
      </w:r>
    </w:p>
    <w:p>
      <w:pPr>
        <w:spacing w:after="120"/>
      </w:pPr>
      <w:r>
        <w:rPr>
          <w:rFonts w:ascii="Arial" w:hAnsi="Arial"/>
          <w:b w:val="0"/>
        </w:rPr>
        <w:t>Источники: объект №1003142203 (https://krisha.kz/a/show/1003142203), список с этой карточкой (https://krisha.kz/prodazha/kommercheskaya-nedvizhimost/ust-kamenogorsk/typi-azs_avtoservisy_i_avtomoyki/), AutoMeister S4D-2 (https://tssp.kz/product/dvuhstoechnyy-podemnik-automeister-s4d-2). Проверено 28.10.2026. Цена недвижимости – предложение; в открытой карточке подъемника отметка наличия на 24.09.2026.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3. Рабочий месяц в ценах 2026 года</w:t>
      </w:r>
    </w:p>
    <w:p>
      <w:pPr>
        <w:spacing w:after="120"/>
      </w:pPr>
      <w:r>
        <w:rPr>
          <w:rFonts w:ascii="Arial" w:hAnsi="Arial"/>
          <w:b w:val="0"/>
        </w:rPr>
        <w:t>Заложены четыре мастера, 12 заказов в день, чек работ 14 000 ₸, 26 дней. Выручка 4 368 000 ₸. В среднем три заказа на мастера; при 1,7 часа на заказ получается 530,4 часа из фонда 832 часа, загрузка 63,75%.</w:t>
      </w:r>
    </w:p>
    <w:p>
      <w:pPr>
        <w:spacing w:after="120"/>
      </w:pPr>
      <w:r>
        <w:rPr>
          <w:rFonts w:ascii="Arial" w:hAnsi="Arial"/>
          <w:b w:val="0"/>
        </w:rPr>
        <w:t>Ценовой ориентир – прайс работ «Автодоктора» на Сливной, 10 (https://www.olx.kz/d/obyavlenie/zamena-masla-filtrov-kolodok-i-zhidkostey-slivnaya-10-avtodoktor-IDr7rQ4.html), опубликован 10.09.2026. Масло с фильтром от 3 000 ₸, колодки на ось от 4 000 ₸, замена жидкости коробки от 5 000 ₸. Чек 14 000 ₸ заложен для нескольких операций, его нужно подтвердить собственными заказ-нарядами.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Статья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Расчет или бюджет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Сумма в месяц, ₸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Выручка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12 × 14 000 × 26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4 368 000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Мастера с начислениями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45% работ × 1,11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2 181 816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Администратор с начислениями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300 000 × 1,11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333 000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Коммунальные услуги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Среднегодовой бюджет, округленно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250 000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Расходники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3% продаж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131 040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QR, продвижение, учет и связь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41 496 + 40 000 + 30 000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111 496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Содержание объекта, имущественные платежи и страховка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41 000 + 9 000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50 000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Налог и платежи ИП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87 360 + 21 675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109 035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Поддерживающие вложения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Замена инструмента и оборудования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100 000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/>
                <w:sz w:val="18"/>
              </w:rPr>
              <w:t>Поток до долга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/>
                <w:sz w:val="18"/>
              </w:rPr>
              <w:t>После всех строк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/>
                <w:sz w:val="18"/>
              </w:rPr>
              <w:t>1 101 613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Платеж банку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Тело и проценты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884 942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/>
                <w:sz w:val="18"/>
              </w:rPr>
              <w:t>Остается владельцу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/>
                <w:sz w:val="18"/>
              </w:rPr>
              <w:t>После долга и выделенных резервов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/>
                <w:sz w:val="18"/>
              </w:rPr>
              <w:t>216 671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Начисления 2026 года для выбранных зарплат без льгот – 11%: ОПВР 3,5%, социальные отчисления 5% после пенсионных удержаний с пределами, медицинские отчисления 3%. Сдельные 45% – начисленная зарплата мастеров, не сумма на руки. Лимит 50 000 ₸ требует сверки по фактическому содержанию объекта и налоговой базе, это не расчет ставки имущественного налога.</w:t>
      </w:r>
    </w:p>
    <w:p>
      <w:pPr>
        <w:spacing w:after="120"/>
      </w:pPr>
      <w:r>
        <w:rPr>
          <w:rFonts w:ascii="Arial" w:hAnsi="Arial"/>
          <w:b w:val="0"/>
        </w:rPr>
        <w:t>Для бокса 350 м² с потолком 5 м закладываем коммунальные расходы по сезонам: октябрь–апрель – 350 000 ₸ в месяц, май–сентябрь – 120 000 ₸. Это отопление бокса с открывающимися воротами, электричество подъемников и компрессора, вода. Бюджет за год – 3 050 000 ₸, в среднем 254 167 ₸ в месяц. Это заложенный бюджет, для сделки его сверяют со счетами объекта.</w:t>
      </w:r>
    </w:p>
    <w:p>
      <w:pPr>
        <w:spacing w:after="120"/>
      </w:pPr>
      <w:r>
        <w:rPr>
          <w:rFonts w:ascii="Arial" w:hAnsi="Arial"/>
          <w:b w:val="0"/>
        </w:rPr>
        <w:t>В таблице рабочего месяца берем округленные среднегодовые 250 000 ₸; зимой расход выше. Календарь первого года ниже использует сезонные суммы без такого округления, поэтому его итог нельзя получить простым умножением рабочего месяца на двенадцать.</w:t>
      </w:r>
    </w:p>
    <w:p>
      <w:pPr>
        <w:spacing w:after="120"/>
      </w:pPr>
      <w:r>
        <w:rPr>
          <w:rFonts w:ascii="Arial" w:hAnsi="Arial"/>
          <w:b w:val="0"/>
        </w:rPr>
        <w:t>Платежи ИП за себя раскладываем отдельно: обязательные пенсионные взносы (ОПВ) 8 500 ₸, ОПВР 2 975 ₸, социальные отчисления (СО) 4 250 ₸, взносы на обязательное социальное медицинское страхование (ВОСМС) 5 950 ₸. Всего 21 675 ₸ в месяц. Закладываем минимальную базу 85 000 ₸ для ИП без льгот, рожденного после 1 января 1975 года.</w:t>
      </w:r>
    </w:p>
    <w:p>
      <w:pPr>
        <w:spacing w:after="120"/>
      </w:pPr>
      <w:r>
        <w:rPr>
          <w:rFonts w:ascii="Arial" w:hAnsi="Arial"/>
          <w:b w:val="0"/>
        </w:rPr>
        <w:t>СО за себя считаем с минимальной базы: 85 000 × 5% = 4 250 ₸. Вычитание ОПВ дало бы 76 500 ₸ и 3 825 ₸ отчислений, но база ниже МЗП поднимается до 85 000 ₸. Минимум разъяснен ГФСС (https://gfss.kz/ru/socotchisleniya/по-уплате-социальных-отчислений/), вопрос 11; Kaspi Гид (https://guide.kaspi.kz/partner/ru/tax/conditions/simplified/q2620) также указывает минимум 4 250 ₸. Проверено 28.10.2026.</w:t>
      </w:r>
    </w:p>
    <w:p>
      <w:pPr>
        <w:spacing w:after="120"/>
      </w:pPr>
      <w:r>
        <w:rPr>
          <w:rFonts w:ascii="Arial" w:hAnsi="Arial"/>
          <w:b w:val="0"/>
        </w:rPr>
        <w:t>В лимите содержания объекта 50 000 ₸ закладываем 9 000 ₸ в месяц на страхование залога и 41 000 ₸ на остальные расходы и имущественные платежи. Страховой бюджет – 108 000 ₸ в год, около 0,31% цены помещения; это допущение, которое заменяют предложением страховщика. Правила BCC, пункт 194 (https://www.bcc.kz/upload/iblock/a0c/a0c05ddaa5d2c202cb28e6e3c07b98c4.pdf) предусматривают страхование залога по требованиям банка.</w:t>
      </w:r>
    </w:p>
    <w:p>
      <w:pPr>
        <w:spacing w:after="120"/>
      </w:pPr>
      <w:r>
        <w:rPr>
          <w:rFonts w:ascii="Arial" w:hAnsi="Arial"/>
          <w:b w:val="0"/>
        </w:rPr>
        <w:t>В рабочем месяце страховка показана как месячный бюджет. В денежном календаре закладываем оплату годового полиса 108 000 ₸ в ноябре каждого года. Тогда в ноябре содержание объекта со страховкой стоит 149 000 ₸, в остальные месяцы – 41 000 ₸; за год сохраняется общий бюджет 600 000 ₸.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4. Платеж и график долга</w:t>
      </w:r>
    </w:p>
    <w:p>
      <w:pPr>
        <w:spacing w:after="120"/>
      </w:pPr>
      <w:r>
        <w:rPr>
          <w:rFonts w:ascii="Arial" w:hAnsi="Arial"/>
          <w:b w:val="0"/>
        </w:rPr>
        <w:t>Номинальная ставка 25,25% взята как верхняя граница опубликованного диапазона «Бизнес-кредита» BCC (https://www.bcc.kz/business/loans/business-credit/), проверено 28.10.2026. Срок 60 месяцев выбран для проекта. Индивидуальные условия согласовываются с банком.</w:t>
      </w:r>
    </w:p>
    <w:p>
      <w:pPr>
        <w:spacing w:after="120"/>
      </w:pPr>
      <w:r>
        <w:rPr>
          <w:rFonts w:ascii="Arial" w:hAnsi="Arial"/>
          <w:b w:val="0"/>
        </w:rPr>
        <w:t>P = 30 000 000 ₸; r = 25,25% / 12; n = 60.</w:t>
      </w:r>
    </w:p>
    <w:p>
      <w:pPr>
        <w:spacing w:after="120"/>
      </w:pPr>
      <w:r>
        <w:rPr>
          <w:rFonts w:ascii="Arial" w:hAnsi="Arial"/>
          <w:b w:val="0"/>
        </w:rPr>
        <w:t>Платеж = P × r / (1 − (1 + r) в степени −n).</w:t>
      </w:r>
    </w:p>
    <w:p>
      <w:pPr>
        <w:spacing w:after="120"/>
      </w:pPr>
      <w:r>
        <w:rPr>
          <w:rFonts w:ascii="Arial" w:hAnsi="Arial"/>
          <w:b w:val="0"/>
        </w:rPr>
        <w:t>Результат: 884 942,104 ₸, для показа 884 942 ₸.</w:t>
      </w:r>
    </w:p>
    <w:p>
      <w:pPr>
        <w:spacing w:after="120"/>
      </w:pPr>
      <w:r>
        <w:rPr>
          <w:rFonts w:ascii="Arial" w:hAnsi="Arial"/>
          <w:b w:val="0"/>
        </w:rPr>
        <w:t>Комиссия 150 000 ₸ оплачивается своими деньгами отдельно.</w:t>
      </w:r>
    </w:p>
    <w:p>
      <w:pPr>
        <w:spacing w:after="120"/>
      </w:pPr>
      <w:r>
        <w:rPr>
          <w:rFonts w:ascii="Arial" w:hAnsi="Arial"/>
          <w:b w:val="0"/>
        </w:rPr>
        <w:t>Проценты за срок 23 096 526 ₸; все платежи банку без комиссии 53 096 526 ₸.</w:t>
      </w:r>
    </w:p>
    <w:p>
      <w:pPr>
        <w:spacing w:after="120"/>
      </w:pPr>
      <w:r>
        <w:rPr>
          <w:rFonts w:ascii="Arial" w:hAnsi="Arial"/>
          <w:b w:val="0"/>
        </w:rPr>
        <w:t>ГЭСВ не подставляется вместо номинальной ставки. Внутри модели округление не выполняется; календарь договора по фактическим дням может отличаться.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Месяц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Платеж, ₸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Проценты, ₸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Основной долг, ₸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Остаток долга, ₸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884 942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631 250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253 692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29 746 308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884 942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565 946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318 996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26 577 459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24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884 942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475 392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409 550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22 183 355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36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884 942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359 133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525 809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16 541 890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48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884 942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209 871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675 072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9 298 974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884 942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18 237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866 705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</w:tr>
    </w:tbl>
    <w:p/>
    <w:p>
      <w:pPr>
        <w:keepNext/>
        <w:spacing w:before="280"/>
      </w:pPr>
      <w:r>
        <w:rPr>
          <w:rFonts w:ascii="Arial" w:hAnsi="Arial"/>
          <w:b/>
          <w:sz w:val="28"/>
        </w:rPr>
        <w:t>5. Покрытие долга и слабый месяц</w:t>
      </w:r>
    </w:p>
    <w:p>
      <w:pPr>
        <w:spacing w:after="120"/>
      </w:pPr>
      <w:r>
        <w:rPr>
          <w:rFonts w:ascii="Arial" w:hAnsi="Arial"/>
          <w:b w:val="0"/>
        </w:rPr>
        <w:t>DSCR = поток до обслуживания долга / проценты и основной долг за тот же период.</w:t>
      </w:r>
    </w:p>
    <w:p>
      <w:pPr>
        <w:spacing w:after="120"/>
      </w:pPr>
      <w:r>
        <w:rPr>
          <w:rFonts w:ascii="Arial" w:hAnsi="Arial"/>
          <w:b w:val="0"/>
        </w:rPr>
        <w:t>Числитель этой модели уже уменьшен на операционные расходы, налоги и поддерживающие вложения. Рабочая цель 1,30 выбрана для проверки проекта; определение и порог конкретного банка нужно согласовать отдельно.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Сценарий в ценах 2026 года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Выручка, ₸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Поток до долга, ₸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DSCR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Остаток после долга, ₸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Arial" w:hAnsi="Arial"/>
                <w:b w:val="0"/>
                <w:sz w:val="18"/>
              </w:rPr>
              <w:t>Рабочая загрузка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4 368 000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1 101 613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1,24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216 671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Заказов меньше на 10%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3 931 200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908 984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1,03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24 042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Arial" w:hAnsi="Arial"/>
                <w:b w:val="0"/>
                <w:sz w:val="18"/>
              </w:rPr>
              <w:t>Заказов меньше на 20%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3 494 400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716 355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0,81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−168 587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Переменные расходы – 55,9% продаж, вклад в фиксированные расходы и долг – 44,1%. Фиксированная часть – 824 675 ₸. Поток = 0,441 × выручка − 824 675.</w:t>
      </w:r>
    </w:p>
    <w:p>
      <w:pPr>
        <w:spacing w:after="120"/>
      </w:pPr>
      <w:r>
        <w:rPr>
          <w:rFonts w:ascii="Arial" w:hAnsi="Arial"/>
          <w:b w:val="0"/>
        </w:rPr>
        <w:t>Денежная безубыточность с кредитом: 3 876 683 ₸, минимум 11 заказов в день. Для цели DSCR 1,30: 4 478 684 ₸, минимум 13 заказов в день при выбранном чеке и днях работы.</w:t>
      </w:r>
    </w:p>
    <w:p>
      <w:pPr>
        <w:spacing w:after="120"/>
      </w:pPr>
      <w:r>
        <w:rPr>
          <w:rFonts w:ascii="Arial" w:hAnsi="Arial"/>
          <w:b w:val="0"/>
        </w:rPr>
        <w:t>Заявку на 30 млн ₸ нужно усиливать: рабочие 1,24 ниже цели 1,30. Меньший кредит, больше собственных денег или подтвержденный рост заказов меняют результат.</w:t>
      </w:r>
    </w:p>
    <w:p>
      <w:pPr>
        <w:spacing w:after="120"/>
      </w:pPr>
      <w:r>
        <w:rPr>
          <w:rFonts w:ascii="Arial" w:hAnsi="Arial"/>
          <w:b w:val="0"/>
        </w:rPr>
        <w:t>При −20% заказов расчетный предел кредита для DSCR 1,30 – 18 680 633 ₸ при среднем коммунальном бюджете 250 000 ₸. Вариант кредита 18,5 млн ₸ на том же сроке и ставке: платеж 545 714 ₸; при продажах −20% DSCR 1,31. Недостающие инвестиции требуют своих денег или уменьшения сметы. Зимний стресс при коммунальных 350 000 ₸ и месячном страховом бюджете дает DSCR 1,13: для запаса 1,30 зимой нужны меньший долг или большие поступления.</w:t>
      </w:r>
    </w:p>
    <w:p>
      <w:pPr>
        <w:spacing w:after="120"/>
      </w:pPr>
      <w:r>
        <w:rPr>
          <w:rFonts w:ascii="Arial" w:hAnsi="Arial"/>
          <w:b w:val="0"/>
        </w:rPr>
        <w:t>Отдельные тесты:</w:t>
      </w:r>
    </w:p>
    <w:p>
      <w:pPr>
        <w:pStyle w:val="ListBullet"/>
      </w:pPr>
      <w:r>
        <w:rPr>
          <w:rFonts w:ascii="Arial" w:hAnsi="Arial"/>
          <w:b w:val="0"/>
        </w:rPr>
        <w:t>Старый платеж 200 000 ₸ в месяц: DSCR рабочего месяца 1,02.</w:t>
      </w:r>
    </w:p>
    <w:p>
      <w:pPr>
        <w:pStyle w:val="ListBullet"/>
      </w:pPr>
      <w:r>
        <w:rPr>
          <w:rFonts w:ascii="Arial" w:hAnsi="Arial"/>
          <w:b w:val="0"/>
        </w:rPr>
        <w:t>Четверть продаж оплачивается позже: дебиторка 1 092 000 ₸; при тех же расходах поток 9 613 ₸ и DSCR около 0,01.</w:t>
      </w:r>
    </w:p>
    <w:p>
      <w:pPr>
        <w:pStyle w:val="ListBullet"/>
      </w:pPr>
      <w:r>
        <w:rPr>
          <w:rFonts w:ascii="Arial" w:hAnsi="Arial"/>
          <w:b w:val="0"/>
        </w:rPr>
        <w:t>Залоговая база 35 млн ₸ при выбранном дисконте 30% дает 24,5 млн ₸, разница с кредитом 5,5 млн ₸. Это сценарий, не оценка или норматив банка.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6. Полный первый год и остаток резерва</w:t>
      </w:r>
    </w:p>
    <w:p>
      <w:pPr>
        <w:spacing w:after="120"/>
      </w:pPr>
      <w:r>
        <w:rPr>
          <w:rFonts w:ascii="Arial" w:hAnsi="Arial"/>
          <w:b w:val="0"/>
        </w:rPr>
        <w:t>Расчетный запуск – ноябрь 2026 года, первый месячный платеж в конце ноября. Поступления первых трех месяцев 70%, 85%, 95%, затем 100% рабочего объема. Собственный денежный резерв на старте 3 млн ₸. Даты математической модели уточняются по договору.</w:t>
      </w:r>
    </w:p>
    <w:p>
      <w:pPr>
        <w:spacing w:after="120"/>
      </w:pPr>
      <w:r>
        <w:rPr>
          <w:rFonts w:ascii="Arial" w:hAnsi="Arial"/>
          <w:b w:val="0"/>
        </w:rPr>
        <w:t>Известный график ОПВР: 3,5% в 2026 году, 4,5% в 2027-м, 5% с 2028 года. Соответственно начисления для выбранных зарплат: 11%, 12%, 12,5%. Прочие цены, зарплаты, МЗП и объемы удержаны на базе 2026 года для сравнения. Это допущение, а не утверждение об их будущей неизменности.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Месяц</w:t>
            </w:r>
          </w:p>
        </w:tc>
        <w:tc>
          <w:tcPr>
            <w:tcW w:type="dxa" w:w="1662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Коммунальные, ₸</w:t>
            </w:r>
          </w:p>
        </w:tc>
        <w:tc>
          <w:tcPr>
            <w:tcW w:type="dxa" w:w="1662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Страховка, ₸</w:t>
            </w:r>
          </w:p>
        </w:tc>
        <w:tc>
          <w:tcPr>
            <w:tcW w:type="dxa" w:w="1662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Поток до долга, ₸</w:t>
            </w:r>
          </w:p>
        </w:tc>
        <w:tc>
          <w:tcPr>
            <w:tcW w:type="dxa" w:w="1662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DSCR</w:t>
            </w:r>
          </w:p>
        </w:tc>
        <w:tc>
          <w:tcPr>
            <w:tcW w:type="dxa" w:w="1662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Остаток после долга, ₸</w:t>
            </w:r>
          </w:p>
        </w:tc>
      </w:tr>
      <w:tr>
        <w:tc>
          <w:tcPr>
            <w:tcW w:type="dxa" w:w="1662"/>
          </w:tcPr>
          <w:p>
            <w:r/>
            <w:r>
              <w:rPr>
                <w:rFonts w:ascii="Arial" w:hAnsi="Arial"/>
                <w:b w:val="0"/>
                <w:sz w:val="18"/>
              </w:rPr>
              <w:t>2026-11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350 000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108 000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324 727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0,37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−560 216</w:t>
            </w:r>
          </w:p>
        </w:tc>
      </w:tr>
      <w:tr>
        <w:tc>
          <w:tcPr>
            <w:tcW w:type="dxa" w:w="1662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2026-12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350 000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721 670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0,82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−163 272</w:t>
            </w:r>
          </w:p>
        </w:tc>
      </w:tr>
      <w:tr>
        <w:tc>
          <w:tcPr>
            <w:tcW w:type="dxa" w:w="1662"/>
          </w:tcPr>
          <w:p>
            <w:r/>
            <w:r>
              <w:rPr>
                <w:rFonts w:ascii="Arial" w:hAnsi="Arial"/>
                <w:b w:val="0"/>
                <w:sz w:val="18"/>
              </w:rPr>
              <w:t>2027-01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350 000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891 775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1,01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6 833</w:t>
            </w:r>
          </w:p>
        </w:tc>
      </w:tr>
      <w:tr>
        <w:tc>
          <w:tcPr>
            <w:tcW w:type="dxa" w:w="1662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2027-02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350 000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987 107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1,12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102 165</w:t>
            </w:r>
          </w:p>
        </w:tc>
      </w:tr>
      <w:tr>
        <w:tc>
          <w:tcPr>
            <w:tcW w:type="dxa" w:w="1662"/>
          </w:tcPr>
          <w:p>
            <w:r/>
            <w:r>
              <w:rPr>
                <w:rFonts w:ascii="Arial" w:hAnsi="Arial"/>
                <w:b w:val="0"/>
                <w:sz w:val="18"/>
              </w:rPr>
              <w:t>2027-03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350 000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987 107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1,12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102 165</w:t>
            </w:r>
          </w:p>
        </w:tc>
      </w:tr>
      <w:tr>
        <w:tc>
          <w:tcPr>
            <w:tcW w:type="dxa" w:w="1662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2027-04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350 000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987 107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1,12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102 165</w:t>
            </w:r>
          </w:p>
        </w:tc>
      </w:tr>
      <w:tr>
        <w:tc>
          <w:tcPr>
            <w:tcW w:type="dxa" w:w="1662"/>
          </w:tcPr>
          <w:p>
            <w:r/>
            <w:r>
              <w:rPr>
                <w:rFonts w:ascii="Arial" w:hAnsi="Arial"/>
                <w:b w:val="0"/>
                <w:sz w:val="18"/>
              </w:rPr>
              <w:t>2027-05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120 000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1 217 107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1,38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332 165</w:t>
            </w:r>
          </w:p>
        </w:tc>
      </w:tr>
      <w:tr>
        <w:tc>
          <w:tcPr>
            <w:tcW w:type="dxa" w:w="1662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2027-06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120 000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1 217 107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1,38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332 165</w:t>
            </w:r>
          </w:p>
        </w:tc>
      </w:tr>
      <w:tr>
        <w:tc>
          <w:tcPr>
            <w:tcW w:type="dxa" w:w="1662"/>
          </w:tcPr>
          <w:p>
            <w:r/>
            <w:r>
              <w:rPr>
                <w:rFonts w:ascii="Arial" w:hAnsi="Arial"/>
                <w:b w:val="0"/>
                <w:sz w:val="18"/>
              </w:rPr>
              <w:t>2027-07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120 000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1 217 107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1,38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332 165</w:t>
            </w:r>
          </w:p>
        </w:tc>
      </w:tr>
      <w:tr>
        <w:tc>
          <w:tcPr>
            <w:tcW w:type="dxa" w:w="1662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2027-08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120 000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1 217 107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1,38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332 165</w:t>
            </w:r>
          </w:p>
        </w:tc>
      </w:tr>
      <w:tr>
        <w:tc>
          <w:tcPr>
            <w:tcW w:type="dxa" w:w="1662"/>
          </w:tcPr>
          <w:p>
            <w:r/>
            <w:r>
              <w:rPr>
                <w:rFonts w:ascii="Arial" w:hAnsi="Arial"/>
                <w:b w:val="0"/>
                <w:sz w:val="18"/>
              </w:rPr>
              <w:t>2027-09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120 000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1 217 107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1,38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332 165</w:t>
            </w:r>
          </w:p>
        </w:tc>
      </w:tr>
      <w:tr>
        <w:tc>
          <w:tcPr>
            <w:tcW w:type="dxa" w:w="1662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2027-10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350 000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987 107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1,12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102 165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После первого месяца из резерва остается 2 439 784 ₸, если до него резерв полностью сохранен. Декабрь требует еще 163 272 ₸; минимальный остаток резерва – 2 276 512 ₸. Максимальное накопленное изъятие из резерва – 723 488 ₸. С января положительные остатки могут восстанавливать резерв. Личные изъятия нужно показать отдельной строкой своего календаря.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7. Итоги на весь срок кредита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Год займа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Поток до долга, ₸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Платежи банку, ₸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DSCR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Остаток после долга, ₸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11 972 135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10 619 305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1,13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1 352 830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12 769 754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10 619 305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1,20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2 150 449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12 746 248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10 619 305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1,20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2 126 943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12 746 248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10 619 305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1,20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2 126 943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12 746 248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10 619 305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1,20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2 126 943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Годы: первый – 11.2026–10.2027; второй – 11.2027–10.2028; третий – 11.2028–10.2029; четвертый – 11.2029–10.2030; пятый – 11.2030–10.2031.</w:t>
      </w:r>
    </w:p>
    <w:p>
      <w:pPr>
        <w:spacing w:after="120"/>
      </w:pPr>
      <w:r>
        <w:rPr>
          <w:rFonts w:ascii="Arial" w:hAnsi="Arial"/>
          <w:b w:val="0"/>
        </w:rPr>
        <w:t>Первый год дает DSCR 1,13; ноябрь и декабрь дефицитны. Если пропустить известное повышение ОПВР, поток первого года завышается на 234 077 ₸, годовой показатель становится около 1,15. Сезонные коммунальные расходы и годовой полис учтены; для подачи требуются также сезонность спроса и отдельные предпосылки индексации.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8. Лист собственных исходных данных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Параметр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Что записать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Мое значение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Банк и продукт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Ссылка на актуальный перечень и тариф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__________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Сумма и назначение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Каждая покупка по кредиту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__________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Срок, ставка, комиссия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Номинальная ставка и отдельные платежи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__________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Свои деньги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Остаток и подтверждающие документы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__________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Заказы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Количество, состав и время исполнения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__________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Оплата мастерам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Процент до удержаний или другая фактическая схема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__________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Деньги от клиентов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Месяц поступления, авансы, отсрочки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__________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Старые обязательства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Все займы и лизинговые графики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__________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Залог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Документы, оценка, стоимость, принимаемая банком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__________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Требования к DSCR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Числитель, период, порог, личные изъятия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__________</w:t>
            </w:r>
          </w:p>
        </w:tc>
      </w:tr>
    </w:tbl>
    <w:p/>
    <w:p>
      <w:pPr>
        <w:keepNext/>
        <w:spacing w:before="280"/>
      </w:pPr>
      <w:r>
        <w:rPr>
          <w:rFonts w:ascii="Arial" w:hAnsi="Arial"/>
          <w:b/>
          <w:sz w:val="28"/>
        </w:rPr>
        <w:t>9. Проверка пакета</w:t>
      </w:r>
    </w:p>
    <w:p>
      <w:pPr>
        <w:pStyle w:val="ListBullet"/>
      </w:pPr>
      <w:r>
        <w:rPr>
          <w:rFonts w:ascii="Arial" w:hAnsi="Arial"/>
          <w:b w:val="0"/>
        </w:rPr>
        <w:t>[ ] Смета равна кредиту и собственным источникам.</w:t>
      </w:r>
    </w:p>
    <w:p>
      <w:pPr>
        <w:pStyle w:val="ListBullet"/>
      </w:pPr>
      <w:r>
        <w:rPr>
          <w:rFonts w:ascii="Arial" w:hAnsi="Arial"/>
          <w:b w:val="0"/>
        </w:rPr>
        <w:t>[ ] Комиссия и резерв не включены повторно в оплату объекта.</w:t>
      </w:r>
    </w:p>
    <w:p>
      <w:pPr>
        <w:pStyle w:val="ListBullet"/>
      </w:pPr>
      <w:r>
        <w:rPr>
          <w:rFonts w:ascii="Arial" w:hAnsi="Arial"/>
          <w:b w:val="0"/>
        </w:rPr>
        <w:t>[ ] Заказы подтверждены историей и мощностью.</w:t>
      </w:r>
    </w:p>
    <w:p>
      <w:pPr>
        <w:pStyle w:val="ListBullet"/>
      </w:pPr>
      <w:r>
        <w:rPr>
          <w:rFonts w:ascii="Arial" w:hAnsi="Arial"/>
          <w:b w:val="0"/>
        </w:rPr>
        <w:t>[ ] Процент мастерам считается только с оплачиваемых работ.</w:t>
      </w:r>
    </w:p>
    <w:p>
      <w:pPr>
        <w:pStyle w:val="ListBullet"/>
      </w:pPr>
      <w:r>
        <w:rPr>
          <w:rFonts w:ascii="Arial" w:hAnsi="Arial"/>
          <w:b w:val="0"/>
        </w:rPr>
        <w:t>[ ] Налоги и социальные платежи учтены по выбранному режиму.</w:t>
      </w:r>
    </w:p>
    <w:p>
      <w:pPr>
        <w:pStyle w:val="ListBullet"/>
      </w:pPr>
      <w:r>
        <w:rPr>
          <w:rFonts w:ascii="Arial" w:hAnsi="Arial"/>
          <w:b w:val="0"/>
        </w:rPr>
        <w:t>[ ] График долга содержит тело и проценты.</w:t>
      </w:r>
    </w:p>
    <w:p>
      <w:pPr>
        <w:pStyle w:val="ListBullet"/>
      </w:pPr>
      <w:r>
        <w:rPr>
          <w:rFonts w:ascii="Arial" w:hAnsi="Arial"/>
          <w:b w:val="0"/>
        </w:rPr>
        <w:t>[ ] Известные изменения ставок внесены по календарю.</w:t>
      </w:r>
    </w:p>
    <w:p>
      <w:pPr>
        <w:pStyle w:val="ListBullet"/>
      </w:pPr>
      <w:r>
        <w:rPr>
          <w:rFonts w:ascii="Arial" w:hAnsi="Arial"/>
          <w:b w:val="0"/>
        </w:rPr>
        <w:t>[ ] Все месячные дефициты покрыты доступными источниками.</w:t>
      </w:r>
    </w:p>
    <w:p>
      <w:pPr>
        <w:pStyle w:val="ListBullet"/>
      </w:pPr>
      <w:r>
        <w:rPr>
          <w:rFonts w:ascii="Arial" w:hAnsi="Arial"/>
          <w:b w:val="0"/>
        </w:rPr>
        <w:t>[ ] Личные изъятия отделены от потока компании.</w:t>
      </w:r>
    </w:p>
    <w:p>
      <w:pPr>
        <w:pStyle w:val="ListBullet"/>
      </w:pPr>
      <w:r>
        <w:rPr>
          <w:rFonts w:ascii="Arial" w:hAnsi="Arial"/>
          <w:b w:val="0"/>
        </w:rPr>
        <w:t>[ ] Определение и порог DSCR согласованы с банком.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10. Официальные источники</w:t>
      </w:r>
    </w:p>
    <w:p>
      <w:pPr>
        <w:spacing w:after="120"/>
      </w:pPr>
      <w:r>
        <w:rPr>
          <w:rFonts w:ascii="Arial" w:hAnsi="Arial"/>
          <w:b w:val="0"/>
        </w:rPr>
        <w:t>Проверено 28.10.2026:</w:t>
      </w:r>
    </w:p>
    <w:p>
      <w:pPr>
        <w:pStyle w:val="ListBullet"/>
      </w:pPr>
      <w:r>
        <w:rPr>
          <w:rFonts w:ascii="Arial" w:hAnsi="Arial"/>
          <w:b w:val="0"/>
        </w:rPr>
        <w:t>BCC: условия продукта (https://www.bcc.kz/business/loans/business-credit/).</w:t>
      </w:r>
    </w:p>
    <w:p>
      <w:pPr>
        <w:pStyle w:val="ListBullet"/>
      </w:pPr>
      <w:r>
        <w:rPr>
          <w:rFonts w:ascii="Arial" w:hAnsi="Arial"/>
          <w:b w:val="0"/>
        </w:rPr>
        <w:t>BCC: документы ИП, DOCX (https://www.bcc.kz/static/bcc-kz-storage/storage/app/media/business/business-credit/For-IE.docx).</w:t>
      </w:r>
    </w:p>
    <w:p>
      <w:pPr>
        <w:pStyle w:val="ListBullet"/>
      </w:pPr>
      <w:r>
        <w:rPr>
          <w:rFonts w:ascii="Arial" w:hAnsi="Arial"/>
          <w:b w:val="0"/>
        </w:rPr>
        <w:t>Усть-Каменогорск: решение №38/3-VIII (https://old.adilet.zan.kz/rus/docs/G25VA00383M).</w:t>
      </w:r>
    </w:p>
    <w:p>
      <w:pPr>
        <w:pStyle w:val="ListBullet"/>
      </w:pPr>
      <w:r>
        <w:rPr>
          <w:rFonts w:ascii="Arial" w:hAnsi="Arial"/>
          <w:b w:val="0"/>
        </w:rPr>
        <w:t>ЕНПФ: график ОПВР (https://www.enpf.kz/ru/faq/15045/).</w:t>
      </w:r>
    </w:p>
    <w:p>
      <w:pPr>
        <w:pStyle w:val="ListBullet"/>
      </w:pPr>
      <w:r>
        <w:rPr>
          <w:rFonts w:ascii="Arial" w:hAnsi="Arial"/>
          <w:b w:val="0"/>
        </w:rPr>
        <w:t>Kaspi: комиссия выбранного приема оплаты (https://guide.kaspi.kz/partner/ru/pos/conditions/q3567).</w:t>
      </w:r>
    </w:p>
    <w:p>
      <w:pPr>
        <w:spacing w:after="120"/>
      </w:pPr>
      <w:r>
        <w:rPr>
          <w:rFonts w:ascii="Arial" w:hAnsi="Arial"/>
          <w:b w:val="0"/>
        </w:rPr>
        <w:t>Предложения недвижимости, оборудования и работ указаны у соответствующих расчетов. Коммерческие предложения, банковская оценка и окончательный график должны относиться к вашей сделке.</w:t>
      </w:r>
    </w:p>
    <w:p>
      <w:pPr>
        <w:pStyle w:val="ListBullet"/>
      </w:pPr>
      <w:r>
        <w:rPr>
          <w:rFonts w:ascii="Arial" w:hAnsi="Arial"/>
          <w:b w:val="0"/>
        </w:rPr>
        <w:t>ГФСС: минимум базы СО (https://gfss.kz/ru/socotchisleniya/по-уплате-социальных-отчислений/), вопрос 11; проверено 28.10.2026.</w:t>
      </w:r>
    </w:p>
    <w:p>
      <w:pPr>
        <w:pStyle w:val="ListBullet"/>
      </w:pPr>
      <w:r>
        <w:rPr>
          <w:rFonts w:ascii="Arial" w:hAnsi="Arial"/>
          <w:b w:val="0"/>
        </w:rPr>
        <w:t>Kaspi: состав платежей ИП (https://guide.kaspi.kz/partner/ru/tax/conditions/simplified/q2620); проверено 28.10.2026.</w:t>
      </w:r>
    </w:p>
    <w:p>
      <w:pPr>
        <w:pStyle w:val="ListBullet"/>
      </w:pPr>
      <w:r>
        <w:rPr>
          <w:rFonts w:ascii="Arial" w:hAnsi="Arial"/>
          <w:b w:val="0"/>
        </w:rPr>
        <w:t>BCC: страхование залога (https://www.bcc.kz/upload/iblock/a0c/a0c05ddaa5d2c202cb28e6e3c07b98c4.pdf), пункт 194; проверено 28.10.2026.</w:t>
      </w:r>
    </w:p>
    <w:sectPr w:rsidR="00FC693F" w:rsidRPr="0006063C" w:rsidSect="00034616">
      <w:headerReference w:type="default" r:id="rId9"/>
      <w:pgSz w:w="12240" w:h="15840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 w:val="0"/>
        <w:color w:val="5D6A62"/>
        <w:sz w:val="16"/>
      </w:rPr>
      <w:t>Образец бизнес-проекта · «Бизнес Проект» · www.biz-plan.kz · +7 (702) 286-58-26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