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Лист выбора: ИП, ТОО и налоговый режим в 2026 году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Проверено 28.10.2026. Нужна модель под ваш проект – закажите разработку (https://www.biz-plan.kz/uslugi.html).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Кто владеет бизнесом и что он продает</w:t>
      </w:r>
    </w:p>
    <w:p>
      <w:pPr>
        <w:spacing w:after="120"/>
      </w:pPr>
      <w:r>
        <w:rPr>
          <w:rFonts w:ascii="Arial" w:hAnsi="Arial"/>
          <w:b w:val="0"/>
        </w:rPr>
        <w:t>Мой бизнес и город: ____________________</w:t>
      </w:r>
    </w:p>
    <w:p>
      <w:pPr>
        <w:spacing w:after="120"/>
      </w:pPr>
      <w:r>
        <w:rPr>
          <w:rFonts w:ascii="Arial" w:hAnsi="Arial"/>
          <w:b w:val="0"/>
        </w:rPr>
        <w:t>Фактические товары/услуги и коды: ____________________</w:t>
      </w:r>
    </w:p>
    <w:p>
      <w:pPr>
        <w:spacing w:after="120"/>
      </w:pPr>
      <w:r>
        <w:rPr>
          <w:rFonts w:ascii="Arial" w:hAnsi="Arial"/>
          <w:b w:val="0"/>
        </w:rPr>
        <w:t>Владельцы и доли: ____________________</w:t>
      </w:r>
    </w:p>
    <w:p>
      <w:pPr>
        <w:spacing w:after="120"/>
      </w:pPr>
      <w:r>
        <w:rPr>
          <w:rFonts w:ascii="Arial" w:hAnsi="Arial"/>
          <w:b w:val="0"/>
        </w:rPr>
        <w:t>Кто работает в бизнесе, кто получает зарплату: ____________________</w:t>
      </w:r>
    </w:p>
    <w:p>
      <w:pPr>
        <w:spacing w:after="120"/>
      </w:pPr>
      <w:r>
        <w:rPr>
          <w:rFonts w:ascii="Arial" w:hAnsi="Arial"/>
          <w:b w:val="0"/>
        </w:rPr>
        <w:t>Основные покупатели и их налоговые режимы: ____________________</w:t>
      </w:r>
    </w:p>
    <w:p>
      <w:pPr>
        <w:spacing w:after="120"/>
      </w:pPr>
      <w:r>
        <w:rPr>
          <w:rFonts w:ascii="Arial" w:hAnsi="Arial"/>
          <w:b w:val="0"/>
        </w:rPr>
        <w:t>Отсрочка покупателям и поставщикам: ____________________</w:t>
      </w:r>
    </w:p>
    <w:p>
      <w:pPr>
        <w:spacing w:after="120"/>
      </w:pPr>
      <w:r>
        <w:rPr>
          <w:rFonts w:ascii="Arial" w:hAnsi="Arial"/>
          <w:b w:val="0"/>
        </w:rPr>
        <w:t>Поручительства, залоги, долги по аренде: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требуется в 2026 году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Мой результат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Самозанятость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Без ИП и работников, разрешенный вид из №994; гражданин РК или кандас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Доход самозанятого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Не более 300 МРП = 1 297 500 ₸ за календарный месяц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Партнер с долей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Для личного ИП доли компании нет; для ТОО оформить участников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Упрощенная декларация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Проверить №970, структуру по ст.723, доход до 2 595 000 000 ₸ в год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Местная ставка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Алматы 3%, Тараз 2%, Атырау 2%; для своего объекта найти решение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Покупатели на ОУР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Обсудить исключение покупок у упрощенца из вычетов КПН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Доход участника ТОО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Отделить зарплату от прибыли и ИПН с дивидендов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Прямой дизайн логотипов не включается в перечень самозанятых только из-за работы в одиночку. Код 90030 относится к художественному творчеству; код 82990 имеет ограничение по услугам через интернет-платформы. Содержание договора проверяют отдельно.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Три бюджета для сравнения</w:t>
      </w:r>
    </w:p>
    <w:p>
      <w:pPr>
        <w:spacing w:after="120"/>
      </w:pPr>
      <w:r>
        <w:rPr>
          <w:rFonts w:ascii="Arial" w:hAnsi="Arial"/>
          <w:b w:val="0"/>
        </w:rPr>
        <w:t>Это проектные месяцы работающих бизнесов без кредита, импорта и льгот. Средние чеки, загрузка, наценка и лимиты расходов заложены для конкретного формата. Ценовые предложения не выданы за заключенные договоры. Для нового запуска потребуется отдельная смета оборудования и оборотных денег.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Дизайнер, Алматы: ИП на упрощенке 3%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в месяц,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6 проектов ×100 000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Программы, связь, облако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Банк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 замены ноутбука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Деньги остаются в бизнесе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3% продаж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Соцплатежи ИП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Выбрана минимальная база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всех строк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458 325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Ценовой ориентир 100 000₸ – прайс SEOWEB (https://seoweb.kz/services/razrabotka-logotipov/), проверено 28.10.2026. Закладываем 20 часов на проект,120 часов производственной работы. При 4 проектах и тех же лимитах владельцу остается 264 325₸.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Магазин стройматериалов, Тараз: ИП на упрощенке 2%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в месяц,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20 чеков ×16 000 ×26 дней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8 320 000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Закупочная стоимость продаж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Наценка 30%, деление продаж на 1,3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6 400 000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Два продавца с начислениями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2×300 000×1,11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666 000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164 м², предложение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328 000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 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Доставка, разгрузка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QR0,95%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79 040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Потери, учет, реклама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50 000+30 000+40 000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соцплатежиИП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166 400+21 675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188 075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Остается владельцу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После всех строк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328 885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Аренда: Тауке хан 17/2, объявление 1012542862 (https://krisha.kz/a/show/1012542862?source=search_advert), проверено 28.10.2026. При сохранении структуры затрат порог безубыточности –17 чеков в день; при 16 чеках результат−6 027₸. Валовая маржа при наценке 30% –23,08%, а не 30%.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Кафе, Атырау: ТОО на упрощенке 2%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в месяц,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Продажи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60 гостей ×3 500 ×26 дней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5 460 000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Продукты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35% продаж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1 911 000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Люди с начислениями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ФОТ 1 700 000+187 000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1 887 000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Предложение 160 м²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 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Заложенный лимит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Продвижение, уборка, учет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60 000+70 000+40 000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170 000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Прием оплаты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Выбранный QR0,95%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51 870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Амортизация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Соответствующие деньги оставляем на замену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2% продаж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109 200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Чистая прибыль ТОО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До распределения участникам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630 930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Команда: управляющий 300 000, два повара по 400 000, два официанта по 300 000₸ до удержаний. Начисления работодателя для этих зарплат 11%. Пять работников без льгот, у управляющего заявлен базовый вычет 30 МРП. Заложено 35 мест. Безубыточность 49 гостей в день; при 48 гостях результат−46 656₸.</w:t>
      </w:r>
    </w:p>
    <w:p>
      <w:pPr>
        <w:spacing w:after="120"/>
      </w:pPr>
      <w:r>
        <w:rPr>
          <w:rFonts w:ascii="Arial" w:hAnsi="Arial"/>
          <w:b w:val="0"/>
        </w:rPr>
        <w:t>Ориентиры: меню Macari’s от владельца (https://ru.restaurantguru.com/Cafe-Macaris-Atyrau/menu), аренда на Афанасьева (https://krisha.kz/a/show/1015610776), вакансии поваров (https://atyrau.hh.kz/vacancies/povar), официантов (https://atyrau.hh.kz/vacancies/oficiantka). Проверено 28.10.2026. Меню: омлет 3000, сырники 3300, отдельные завтраки 4200₸; средний чек 3500₸ выбран для модели.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Деньги участников кафе</w:t>
      </w:r>
    </w:p>
    <w:p>
      <w:pPr>
        <w:spacing w:after="120"/>
      </w:pPr>
      <w:r>
        <w:rPr>
          <w:rFonts w:ascii="Arial" w:hAnsi="Arial"/>
          <w:b w:val="0"/>
        </w:rPr>
        <w:t>Ниже месячный эквивалент при распределении всей чистой прибыли за допустимый период: квартал, полугодие или год. Не график ежемесячных дивидендов. Старых убытков и непогашенных обязательств в расчете нет;80 000₸ на замену оборудования оставлены в компании.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Выплата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Управляющий 60%,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Участник 40%,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Доля прибыли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378 558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252 372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ИПН 5% с дивидендов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18 928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12 619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Чистые дивиденды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359 630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239 753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Зарплата на руки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250 575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 владельцу в месячном эквиваленте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610 205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239 753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ИПН с каждой выплаты округлен отдельно. Зарплата управляющего уже включена в расходы кафе. Повторно прибавлять начисленные 300 000₸ к прибыли компании нельзя.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Мой расчет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Плановый 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Слабый месяц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Чек и число продаж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Закупки/продукты,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Начисленные зарплаты,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Начисления работодателя,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 и коммунальные услуги,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Доставка, прием оплаты, потери,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Продвижение, учет, связь,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Налоги и платежи владельца,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Резерв/амортизация,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Прибыль бизнеса,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Личный доход после налогов,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__________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Деньги, которые останутся на товар и долги: ____________________</w:t>
      </w:r>
    </w:p>
    <w:p>
      <w:pPr>
        <w:spacing w:after="120"/>
      </w:pPr>
      <w:r>
        <w:rPr>
          <w:rFonts w:ascii="Arial" w:hAnsi="Arial"/>
          <w:b w:val="0"/>
        </w:rPr>
        <w:t>Если ТОО, период и решение о распределении: ____________________</w:t>
      </w:r>
    </w:p>
    <w:p>
      <w:pPr>
        <w:spacing w:after="120"/>
      </w:pPr>
      <w:r>
        <w:rPr>
          <w:rFonts w:ascii="Arial" w:hAnsi="Arial"/>
          <w:b w:val="0"/>
        </w:rPr>
        <w:t>Если директор – участник, зарплата до удержаний: ____________________</w:t>
      </w:r>
    </w:p>
    <w:p>
      <w:pPr>
        <w:spacing w:after="120"/>
      </w:pPr>
      <w:r>
        <w:rPr>
          <w:rFonts w:ascii="Arial" w:hAnsi="Arial"/>
          <w:b w:val="0"/>
        </w:rPr>
        <w:t>Чистые дивиденды каждому участнику: ____________________</w:t>
      </w:r>
    </w:p>
    <w:p>
      <w:pPr>
        <w:spacing w:after="120"/>
      </w:pPr>
      <w:r>
        <w:rPr>
          <w:rFonts w:ascii="Arial" w:hAnsi="Arial"/>
          <w:b w:val="0"/>
        </w:rPr>
        <w:t>Итоговая форма и налоговый режим: ____________________</w:t>
      </w:r>
    </w:p>
    <w:p>
      <w:pPr>
        <w:spacing w:after="120"/>
      </w:pPr>
      <w:r>
        <w:rPr>
          <w:rFonts w:ascii="Arial" w:hAnsi="Arial"/>
          <w:b w:val="0"/>
        </w:rPr>
        <w:t>Решение маслихата, ссылка, дата проверки: ____________________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Контроль перед подачей документов</w:t>
      </w:r>
    </w:p>
    <w:p>
      <w:pPr>
        <w:pStyle w:val="ListBullet"/>
      </w:pPr>
      <w:r>
        <w:rPr>
          <w:rFonts w:ascii="Arial" w:hAnsi="Arial"/>
          <w:b w:val="0"/>
        </w:rPr>
        <w:t>[ ] Разрешенный вид деятельности или отсутствие запрета подтверждены содержанием услуги.</w:t>
      </w:r>
    </w:p>
    <w:p>
      <w:pPr>
        <w:pStyle w:val="ListBullet"/>
      </w:pPr>
      <w:r>
        <w:rPr>
          <w:rFonts w:ascii="Arial" w:hAnsi="Arial"/>
          <w:b w:val="0"/>
        </w:rPr>
        <w:t>[ ] Проверена вся структура участия владельцев, включая другие ИП и ТОО на СНР.</w:t>
      </w:r>
    </w:p>
    <w:p>
      <w:pPr>
        <w:pStyle w:val="ListBullet"/>
      </w:pPr>
      <w:r>
        <w:rPr>
          <w:rFonts w:ascii="Arial" w:hAnsi="Arial"/>
          <w:b w:val="0"/>
        </w:rPr>
        <w:t>[ ] Корпоративные покупатели согласовали режим и требования к НДС.</w:t>
      </w:r>
    </w:p>
    <w:p>
      <w:pPr>
        <w:pStyle w:val="ListBullet"/>
      </w:pPr>
      <w:r>
        <w:rPr>
          <w:rFonts w:ascii="Arial" w:hAnsi="Arial"/>
          <w:b w:val="0"/>
        </w:rPr>
        <w:t>[ ] Деньги компании отделены от личных денег участников.</w:t>
      </w:r>
    </w:p>
    <w:p>
      <w:pPr>
        <w:pStyle w:val="ListBullet"/>
      </w:pPr>
      <w:r>
        <w:rPr>
          <w:rFonts w:ascii="Arial" w:hAnsi="Arial"/>
          <w:b w:val="0"/>
        </w:rPr>
        <w:t>[ ] Условия дополнительных вложений партнера закреплены как заем или капитал.</w:t>
      </w:r>
    </w:p>
    <w:p>
      <w:pPr>
        <w:pStyle w:val="ListBullet"/>
      </w:pPr>
      <w:r>
        <w:rPr>
          <w:rFonts w:ascii="Arial" w:hAnsi="Arial"/>
          <w:b w:val="0"/>
        </w:rPr>
        <w:t>[ ] В расчете зарплаты разделены суммы до удержаний и на руки.</w:t>
      </w:r>
    </w:p>
    <w:p>
      <w:pPr>
        <w:pStyle w:val="ListBullet"/>
      </w:pPr>
      <w:r>
        <w:rPr>
          <w:rFonts w:ascii="Arial" w:hAnsi="Arial"/>
          <w:b w:val="0"/>
        </w:rPr>
        <w:t>[ ] Показаны все расходы месяца, закупки и начисленные обязательства.</w:t>
      </w:r>
    </w:p>
    <w:p>
      <w:pPr>
        <w:pStyle w:val="ListBullet"/>
      </w:pPr>
      <w:r>
        <w:rPr>
          <w:rFonts w:ascii="Arial" w:hAnsi="Arial"/>
          <w:b w:val="0"/>
        </w:rPr>
        <w:t>[ ] Слабый месяц проверен без изменения постоянных расходов задним числом.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5. Первичные источники</w:t>
      </w:r>
    </w:p>
    <w:p>
      <w:pPr>
        <w:spacing w:after="120"/>
      </w:pPr>
      <w:r>
        <w:rPr>
          <w:rFonts w:ascii="Arial" w:hAnsi="Arial"/>
          <w:b w:val="0"/>
        </w:rPr>
        <w:t>Все проверены 28.10.2026.</w:t>
      </w:r>
    </w:p>
    <w:p>
      <w:pPr>
        <w:pStyle w:val="ListBullet"/>
      </w:pPr>
      <w:r>
        <w:rPr>
          <w:rFonts w:ascii="Arial" w:hAnsi="Arial"/>
          <w:b w:val="0"/>
        </w:rPr>
        <w:t>КГД: самозанятые (https://www.gov.kz/situations/810/intro); перечень №994 (https://old.adilet.zan.kz/rus/docs/P2500000994/compare).</w:t>
      </w:r>
    </w:p>
    <w:p>
      <w:pPr>
        <w:pStyle w:val="ListBullet"/>
      </w:pPr>
      <w:r>
        <w:rPr>
          <w:rFonts w:ascii="Arial" w:hAnsi="Arial"/>
          <w:b w:val="0"/>
        </w:rPr>
        <w:t>Закон оТОО, статья 40 (https://old.adilet.zan.kz/kaz/docs/Z980000220_/compare): распределение чистого дохода.</w:t>
      </w:r>
    </w:p>
    <w:p>
      <w:pPr>
        <w:pStyle w:val="ListBullet"/>
      </w:pPr>
      <w:r>
        <w:rPr>
          <w:rFonts w:ascii="Arial" w:hAnsi="Arial"/>
          <w:b w:val="0"/>
        </w:rPr>
        <w:t>Минфин: ставки, дивиденды, вычеты, ограничения (https://www.gov.kz/org/minfin/documents/details/1030415?lang=ru).</w:t>
      </w:r>
    </w:p>
    <w:p>
      <w:pPr>
        <w:pStyle w:val="ListBullet"/>
      </w:pPr>
      <w:r>
        <w:rPr>
          <w:rFonts w:ascii="Arial" w:hAnsi="Arial"/>
          <w:b w:val="0"/>
        </w:rPr>
        <w:t>Алматы №256 (https://adilet.zan.kz/rus/docs/G25R000256M); Тараз №33-4 (https://old.adilet.zan.kz/rus/docs/G25GA00334M); Атырау №190 (https://adilet.zan.kz/rus/docs/G25TA00190M).</w:t>
      </w:r>
    </w:p>
    <w:p>
      <w:pPr>
        <w:pStyle w:val="ListBullet"/>
      </w:pPr>
      <w:r>
        <w:rPr>
          <w:rFonts w:ascii="Arial" w:hAnsi="Arial"/>
          <w:b w:val="0"/>
        </w:rPr>
        <w:t>Kaspi: комиссии приема оплаты (https://guide.kaspi.kz/partner/ru/pos/conditions/q3567), обновлено 01.10.2026.</w:t>
      </w:r>
    </w:p>
    <w:p>
      <w:pPr>
        <w:spacing w:after="120"/>
      </w:pPr>
      <w:r>
        <w:rPr>
          <w:rFonts w:ascii="Arial" w:hAnsi="Arial"/>
          <w:b w:val="0"/>
        </w:rPr>
        <w:t>Расчеты: ОПВ работника 10%, медицинские взносы 2%; начисления работодателя – ОПВР 3,5%, социальные отчисления 5% после ОПВ с установленными пределами и медицинские отчисления 3%. Для выбранных зарплат начисления составляют 11%. Лимиты расходов в моделях – расчетные бюджеты владельцев, а не тарифы услуг.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