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/>
          <w:sz w:val="36"/>
        </w:rPr>
        <w:t>Как пользоваться финансовой моделью кафе</w:t>
      </w:r>
    </w:p>
    <w:p>
      <w:pPr>
        <w:spacing w:after="120"/>
      </w:pPr>
      <w:r>
        <w:rPr>
          <w:rFonts w:ascii="Arial" w:hAnsi="Arial"/>
          <w:b w:val="0"/>
        </w:rPr>
        <w:t>Версия 27.10.2026. Валюта – тенге. Пример: кафе на 40 мест в Астане, дополнительный объект действующего ИП. Горизонт – 36 расчетных месяцев в параметрах 2026 года. Исходные параметры проекта закладываем для планирования; фактическая отчетность клиента не используется.</w:t>
      </w:r>
    </w:p>
    <w:p>
      <w:pPr>
        <w:spacing w:after="120"/>
      </w:pPr>
      <w:r>
        <w:rPr>
          <w:rFonts w:ascii="Arial" w:hAnsi="Arial"/>
          <w:b w:val="0"/>
        </w:rPr>
        <w:t>Открыть файл Excel (Финансовая_модель_кафе.xlsx).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С чего начать</w:t>
      </w:r>
    </w:p>
    <w:p>
      <w:pPr>
        <w:spacing w:after="120"/>
      </w:pPr>
      <w:r>
        <w:rPr>
          <w:rFonts w:ascii="Arial" w:hAnsi="Arial"/>
          <w:b w:val="0"/>
        </w:rPr>
        <w:t>Сохраните копию файла для своего проекта. Откройте «Вводные», затем «Штат». Желтые ячейки содержат редактируемые параметры, синие числа – исходные значения. Черные и зеленые числа в расчетных областях вычисляются формулами; зеленый цвет обозначает связи между листами. На «Итогах» результаты темные, название выбранного сценария зеленое.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Где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Что менять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Что получится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Вводные, D4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Номер сценария 1–4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Пересчет одной модели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Вводные, E9:H11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Гости, чек, продукты на гостя каждого сценария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Активные строки D9:D11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Вводные, D16:D44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Места, дни, расходы, ставки и финансирование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Прибыль, деньги и баланс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Вводные, D50:D55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Комплекты основных средств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Смета и амортизация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Вводные, D60:AM60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Доля рабочего потока по месяцам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Разгон и потребность в деньгах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Штат, D9:E13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Число людей и начислено одному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Полная стоимость команды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D45 показывает фиксированный горизонт книги, 36 месяцев. Его изменение не добавит новые столбцы. Кредитный график рассчитан на срок до 60 месяцев; модель операционной работы – на 36.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Сценарии</w:t>
      </w:r>
    </w:p>
    <w:p>
      <w:pPr>
        <w:spacing w:after="120"/>
      </w:pPr>
      <w:r>
        <w:rPr>
          <w:rFonts w:ascii="Arial" w:hAnsi="Arial"/>
          <w:b w:val="0"/>
        </w:rPr>
        <w:t>В D4 вводится:</w:t>
      </w:r>
    </w:p>
    <w:p>
      <w:pPr>
        <w:pStyle w:val="ListNumber"/>
      </w:pPr>
      <w:r>
        <w:rPr>
          <w:rFonts w:ascii="Arial" w:hAnsi="Arial"/>
          <w:b w:val="0"/>
        </w:rPr>
        <w:t>База: 70 гостей, чек 4 000 ₸, продукты 1 400 ₸ на гостя.</w:t>
      </w:r>
    </w:p>
    <w:p>
      <w:pPr>
        <w:pStyle w:val="ListNumber"/>
      </w:pPr>
      <w:r>
        <w:rPr>
          <w:rFonts w:ascii="Arial" w:hAnsi="Arial"/>
          <w:b w:val="0"/>
        </w:rPr>
        <w:t>Поток ниже на 20%: 56 гостей, остальные параметры прежние.</w:t>
      </w:r>
    </w:p>
    <w:p>
      <w:pPr>
        <w:pStyle w:val="ListNumber"/>
      </w:pPr>
      <w:r>
        <w:rPr>
          <w:rFonts w:ascii="Arial" w:hAnsi="Arial"/>
          <w:b w:val="0"/>
        </w:rPr>
        <w:t>Цена ниже на 10%: чек 3 600 ₸, расход продуктов на гостя сохраняется.</w:t>
      </w:r>
    </w:p>
    <w:p>
      <w:pPr>
        <w:pStyle w:val="ListNumber"/>
      </w:pPr>
      <w:r>
        <w:rPr>
          <w:rFonts w:ascii="Arial" w:hAnsi="Arial"/>
          <w:b w:val="0"/>
        </w:rPr>
        <w:t>Продукты дороже на 10%: 1 540 ₸ на гостя, цена и количество гостей прежние.</w:t>
      </w:r>
    </w:p>
    <w:p>
      <w:pPr>
        <w:spacing w:after="120"/>
      </w:pPr>
      <w:r>
        <w:rPr>
          <w:rFonts w:ascii="Arial" w:hAnsi="Arial"/>
          <w:b w:val="0"/>
        </w:rPr>
        <w:t>Выбранные значения находятся в D9:D11. Все отчеты читают их, поэтому на других листах сценарий повторно не выбирается. В файле отображается один активный вариант. Для сравнения переключите номер и прочитайте «Итоги»; сохраненные значения других вариантов не выдаются за действующие результаты.</w:t>
      </w:r>
    </w:p>
    <w:p>
      <w:pPr>
        <w:spacing w:after="120"/>
      </w:pPr>
      <w:r>
        <w:rPr>
          <w:rFonts w:ascii="Arial" w:hAnsi="Arial"/>
          <w:b w:val="0"/>
        </w:rPr>
        <w:t>Пустое выбранное исходное значение вызывает видимую ошибку. Верните число в нужную ячейку. Ноль отличается от пропуска: например, заем 0 отключает платежи, а для сохранения финансирования потребуется увеличить собственный вклад.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Проверьте исходные документы</w:t>
      </w:r>
    </w:p>
    <w:p>
      <w:pPr>
        <w:spacing w:after="120"/>
      </w:pPr>
      <w:r>
        <w:rPr>
          <w:rFonts w:ascii="Arial" w:hAnsi="Arial"/>
          <w:b w:val="0"/>
        </w:rPr>
        <w:t>Замените арендное предложение своим договором, выбранный средний чек – составом заказа, продукты – технологическими картами и ценами закупки. Комплекты оборудования в примере заданы бюджетами. Перед использованием суммы надо сопоставить с выбранными моделями, монтажом и доставкой.</w:t>
      </w:r>
    </w:p>
    <w:p>
      <w:pPr>
        <w:spacing w:after="120"/>
      </w:pPr>
      <w:r>
        <w:rPr>
          <w:rFonts w:ascii="Arial" w:hAnsi="Arial"/>
          <w:b w:val="0"/>
        </w:rPr>
        <w:t>Аренда примера 1 200 000 ₸ взята из карточки объекта. В каталоге была другая цена, 900 000 ₸. В таблице использована цена карточки. Источники расположены на листе «Вводные», строки 65–74, дата проверки 27.10.2026.</w:t>
      </w:r>
    </w:p>
    <w:p>
      <w:pPr>
        <w:spacing w:after="120"/>
      </w:pPr>
      <w:r>
        <w:rPr>
          <w:rFonts w:ascii="Arial" w:hAnsi="Arial"/>
          <w:b w:val="0"/>
        </w:rPr>
        <w:t>Оклады на листе «Штат» – начисления до удержаний. Расчет работодателя использует ставки 2026 года и отсутствие льгот у выбранных работников. Число людей и расписание смен проверяйте вместе с участием владельца в управлении и подменах.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Финансирование и старт</w:t>
      </w:r>
    </w:p>
    <w:p>
      <w:pPr>
        <w:spacing w:after="120"/>
      </w:pPr>
      <w:r>
        <w:rPr>
          <w:rFonts w:ascii="Arial" w:hAnsi="Arial"/>
          <w:b w:val="0"/>
        </w:rPr>
        <w:t>Полная потребность – 20 600 000 ₸:</w:t>
      </w:r>
    </w:p>
    <w:p>
      <w:pPr>
        <w:pStyle w:val="ListBullet"/>
      </w:pPr>
      <w:r>
        <w:rPr>
          <w:rFonts w:ascii="Arial" w:hAnsi="Arial"/>
          <w:b w:val="0"/>
        </w:rPr>
        <w:t>основные средства 12 000 000 ₸;</w:t>
      </w:r>
    </w:p>
    <w:p>
      <w:pPr>
        <w:pStyle w:val="ListBullet"/>
      </w:pPr>
      <w:r>
        <w:rPr>
          <w:rFonts w:ascii="Arial" w:hAnsi="Arial"/>
          <w:b w:val="0"/>
        </w:rPr>
        <w:t>подготовка и открытие 2 000 000 ₸;</w:t>
      </w:r>
    </w:p>
    <w:p>
      <w:pPr>
        <w:pStyle w:val="ListBullet"/>
      </w:pPr>
      <w:r>
        <w:rPr>
          <w:rFonts w:ascii="Arial" w:hAnsi="Arial"/>
          <w:b w:val="0"/>
        </w:rPr>
        <w:t>возвратный депозит 2 400 000 ₸;</w:t>
      </w:r>
    </w:p>
    <w:p>
      <w:pPr>
        <w:pStyle w:val="ListBullet"/>
      </w:pPr>
      <w:r>
        <w:rPr>
          <w:rFonts w:ascii="Arial" w:hAnsi="Arial"/>
          <w:b w:val="0"/>
        </w:rPr>
        <w:t>продукты 800 000 ₸;</w:t>
      </w:r>
    </w:p>
    <w:p>
      <w:pPr>
        <w:pStyle w:val="ListBullet"/>
      </w:pPr>
      <w:r>
        <w:rPr>
          <w:rFonts w:ascii="Arial" w:hAnsi="Arial"/>
          <w:b w:val="0"/>
        </w:rPr>
        <w:t>денежный резерв 3 400 000 ₸.</w:t>
      </w:r>
    </w:p>
    <w:p>
      <w:pPr>
        <w:spacing w:after="120"/>
      </w:pPr>
      <w:r>
        <w:rPr>
          <w:rFonts w:ascii="Arial" w:hAnsi="Arial"/>
          <w:b w:val="0"/>
        </w:rPr>
        <w:t>Источники: вклад 14 600 000 ₸ и заем 6 000 000 ₸. Если меняете стоимость запуска, измените источник финансирования осознанно. Лист «Проверка» показывает разницу источников и потребности; автоматической вставки дополнительного займа в модели нет.</w:t>
      </w:r>
    </w:p>
    <w:p>
      <w:pPr>
        <w:spacing w:after="120"/>
      </w:pPr>
      <w:r>
        <w:rPr>
          <w:rFonts w:ascii="Arial" w:hAnsi="Arial"/>
          <w:b w:val="0"/>
        </w:rPr>
        <w:t>Кредит – номинальный аннуитетный расчет: 22,75%, 60 месяцев, платеж 168 282 ₸. Ставка выбрана по нижней границе открытого продукта для действующего бизнеса. Комиссии, страховку, льготный период и точные даты замените условиями кредитора до банковской заявки.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Как читать три отчета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Отчет на листе «Модель»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Строки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Что проверять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Продажи и прибыль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8–30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Продукты, команда, амортизация, проценты и налог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Движение денег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33–50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Реальные оплаты, основной долг, изъятия и свободный остаток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Баланс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53–63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Деньги, активы, остаток займа, налог и капитал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Показатели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66–71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DSCR, порог и возврат вложений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В М4 прибыль 531 736 ₸, а денежный результат после долга и резерва налога 674 043 ₸. Разница – амортизация 200 000 минус основной долг 57 693. Все значения в файле хранятся с расчетной точностью, округление применяется к отображению.</w:t>
      </w:r>
    </w:p>
    <w:p>
      <w:pPr>
        <w:spacing w:after="120"/>
      </w:pPr>
      <w:r>
        <w:rPr>
          <w:rFonts w:ascii="Arial" w:hAnsi="Arial"/>
          <w:b w:val="0"/>
        </w:rPr>
        <w:t>В базе изъятия владельца равны нулю, деньги остаются в бизнесе. D33 листа «Вводные» задает изъятия за каждый месяц, включая слабые. После замены проверьте минимум свободных денег; для выплат по другому расписанию потребуется изменить соответствующую строку движения денег по датам.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Налог и календарь</w:t>
      </w:r>
    </w:p>
    <w:p>
      <w:pPr>
        <w:spacing w:after="120"/>
      </w:pPr>
      <w:r>
        <w:rPr>
          <w:rFonts w:ascii="Arial" w:hAnsi="Arial"/>
          <w:b w:val="0"/>
        </w:rPr>
        <w:t>М1 – январь расчетного календаря. Налог начисляется каждый месяц, а перечисляется за полугодие во втором месяце после его окончания: М8, М14, М20, М26, М32. Для запуска в другом месяце перенесите даты перечислений до оценки кассового разрыва.</w:t>
      </w:r>
    </w:p>
    <w:p>
      <w:pPr>
        <w:spacing w:after="120"/>
      </w:pPr>
      <w:r>
        <w:rPr>
          <w:rFonts w:ascii="Arial" w:hAnsi="Arial"/>
          <w:b w:val="0"/>
        </w:rPr>
        <w:t>Банковский остаток включает начисленный налог до перечисления. Свободные деньги исключают это обязательство. В М3 банк 1 066 939 ₸, налог 516 600, свободно 550 339. Отрицательное свободное значение в сценарии требует финансирования, даже если банк еще положителен.</w:t>
      </w:r>
    </w:p>
    <w:p>
      <w:pPr>
        <w:spacing w:after="120"/>
      </w:pPr>
      <w:r>
        <w:rPr>
          <w:rFonts w:ascii="Arial" w:hAnsi="Arial"/>
          <w:b w:val="0"/>
        </w:rPr>
        <w:t>Будущие расчетные периоды сохраняют исходные ставки и цены для сравнения сценариев. При подготовке календаря с фактическими годами обновите нормы и сметы. Расчет упрощенной декларации относится к выбранному масштабу и формату примера.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Доходность</w:t>
      </w:r>
    </w:p>
    <w:p>
      <w:pPr>
        <w:spacing w:after="120"/>
      </w:pPr>
      <w:r>
        <w:rPr>
          <w:rFonts w:ascii="Arial" w:hAnsi="Arial"/>
          <w:b w:val="0"/>
        </w:rPr>
        <w:t>На «Итогах» возврат своего вклада сравнивает 14,6 млн ₸ с потоком после долга. Возврат всего финансирования проекта сравнивает 20,6 млн с потоком до долга. Эти суммы и ряды сохраняйте согласованными.</w:t>
      </w:r>
    </w:p>
    <w:p>
      <w:pPr>
        <w:spacing w:after="120"/>
      </w:pPr>
      <w:r>
        <w:rPr>
          <w:rFonts w:ascii="Arial" w:hAnsi="Arial"/>
          <w:b w:val="0"/>
        </w:rPr>
        <w:t>NPV и IRR проекта используют поток до долга и нулевой расход 20,6 млн ₸. Требуемую доходность закладываем 20% годовых, ее можно менять в D29. Возврат депозита, запаса, денежного резерва и продажа оставшихся активов в конце горизонта исключены.</w:t>
      </w:r>
    </w:p>
    <w:p>
      <w:pPr>
        <w:spacing w:after="120"/>
      </w:pPr>
      <w:r>
        <w:rPr>
          <w:rFonts w:ascii="Arial" w:hAnsi="Arial"/>
          <w:b w:val="0"/>
        </w:rPr>
        <w:t>В базе NPV за 36 месяцев минус 2 173 141 ₸, годовая IRR 12,58%. В сценарии без положительных проектных потоков вместо IRR выводится «нет смены знака». Отрицательная IRR в другом сценарии – результат расчета, а не ошибка формулы.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Перед использованием</w:t>
      </w:r>
    </w:p>
    <w:p>
      <w:pPr>
        <w:pStyle w:val="ListBullet"/>
      </w:pPr>
      <w:r>
        <w:rPr>
          <w:rFonts w:ascii="Arial" w:hAnsi="Arial"/>
          <w:b w:val="0"/>
        </w:rPr>
        <w:t>Заменены цены и состав выбранного бизнеса.</w:t>
      </w:r>
    </w:p>
    <w:p>
      <w:pPr>
        <w:pStyle w:val="ListBullet"/>
      </w:pPr>
      <w:r>
        <w:rPr>
          <w:rFonts w:ascii="Arial" w:hAnsi="Arial"/>
          <w:b w:val="0"/>
        </w:rPr>
        <w:t>Проверены график команды и личная работа владельца.</w:t>
      </w:r>
    </w:p>
    <w:p>
      <w:pPr>
        <w:pStyle w:val="ListBullet"/>
      </w:pPr>
      <w:r>
        <w:rPr>
          <w:rFonts w:ascii="Arial" w:hAnsi="Arial"/>
          <w:b w:val="0"/>
        </w:rPr>
        <w:t>Смета равна источникам денег.</w:t>
      </w:r>
    </w:p>
    <w:p>
      <w:pPr>
        <w:pStyle w:val="ListBullet"/>
      </w:pPr>
      <w:r>
        <w:rPr>
          <w:rFonts w:ascii="Arial" w:hAnsi="Arial"/>
          <w:b w:val="0"/>
        </w:rPr>
        <w:t>Сроки налога и кредита привязаны к своим датам.</w:t>
      </w:r>
    </w:p>
    <w:p>
      <w:pPr>
        <w:pStyle w:val="ListBullet"/>
      </w:pPr>
      <w:r>
        <w:rPr>
          <w:rFonts w:ascii="Arial" w:hAnsi="Arial"/>
          <w:b w:val="0"/>
        </w:rPr>
        <w:t>Свободный остаток покрывает самые слабые месяцы.</w:t>
      </w:r>
    </w:p>
    <w:p>
      <w:pPr>
        <w:pStyle w:val="ListBullet"/>
      </w:pPr>
      <w:r>
        <w:rPr>
          <w:rFonts w:ascii="Arial" w:hAnsi="Arial"/>
          <w:b w:val="0"/>
        </w:rPr>
        <w:t>Лист «Проверка» показывает нулевые разницы.</w:t>
      </w:r>
    </w:p>
    <w:p>
      <w:pPr>
        <w:pStyle w:val="ListBullet"/>
      </w:pPr>
      <w:r>
        <w:rPr>
          <w:rFonts w:ascii="Arial" w:hAnsi="Arial"/>
          <w:b w:val="0"/>
        </w:rPr>
        <w:t>После изменения сценария обновились все отчеты и график.</w:t>
      </w:r>
    </w:p>
    <w:p>
      <w:pPr>
        <w:spacing w:after="120"/>
      </w:pPr>
      <w:r>
        <w:rPr>
          <w:rFonts w:ascii="Arial" w:hAnsi="Arial"/>
          <w:b w:val="0"/>
        </w:rPr>
        <w:t>Расчеты и сценарии проверены движком формирования XLSX и независимым расчетом. Настольный Excel при подготовке не запускался.</w:t>
      </w:r>
    </w:p>
    <w:sectPr w:rsidR="00FC693F" w:rsidRPr="0006063C" w:rsidSect="00034616">
      <w:headerReference w:type="default" r:id="rId9"/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 w:val="0"/>
        <w:color w:val="5D6A62"/>
        <w:sz w:val="16"/>
      </w:rPr>
      <w:t>Образец бизнес-проекта · «Бизнес Проект» · www.biz-plan.kz · +7 (702) 286-58-26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