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rFonts w:ascii="Arial" w:hAnsi="Arial"/>
          <w:b/>
          <w:sz w:val="36"/>
        </w:rPr>
        <w:t>ТЭО малого завода ЖБИ: заполненный расчетный образец</w:t>
      </w:r>
    </w:p>
    <w:p>
      <w:pPr>
        <w:spacing w:after="120"/>
      </w:pPr>
      <w:r>
        <w:rPr>
          <w:rFonts w:ascii="Arial" w:hAnsi="Arial"/>
          <w:b w:val="0"/>
        </w:rPr>
        <w:t>Бизнес Проект · www.biz-plan.kz · +7 (702) 286-58-26</w:t>
      </w:r>
    </w:p>
    <w:p>
      <w:pPr>
        <w:spacing w:after="120"/>
      </w:pPr>
      <w:r>
        <w:rPr>
          <w:rFonts w:ascii="Arial" w:hAnsi="Arial"/>
          <w:b w:val="0"/>
        </w:rPr>
        <w:t>Дата исходных цен: 30.10.2026. Структура: приказ МИИР №501 от 11.07.2019. Получатель: управляющая компания выбранной индустриальной зоны Алматы. Пример показывает план производства ФБС; сведений о выданном допуске или фактических продажах здесь нет.</w:t>
      </w:r>
    </w:p>
    <w:p>
      <w:pPr>
        <w:spacing w:after="120"/>
      </w:pPr>
      <w:r>
        <w:rPr>
          <w:rFonts w:ascii="Arial" w:hAnsi="Arial"/>
          <w:b w:val="0"/>
        </w:rPr>
        <w:t>Название заявителя, конкретный корпус и двор, технические условия и окончательные предложения поставщиков заполняются документами своего проекта. Выбранные объемы и бюджетные лимиты отмечены словом «закладываем». Расчетная форма – ТОО на общеустановленном режиме с НДС, без кредита.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1. Введение проекта</w:t>
      </w:r>
    </w:p>
    <w:p>
      <w:pPr>
        <w:spacing w:after="120"/>
      </w:pPr>
      <w:r>
        <w:rPr>
          <w:rFonts w:ascii="Arial" w:hAnsi="Arial"/>
          <w:b w:val="0"/>
        </w:rPr>
        <w:t>Планируем производство фундаментных блоков в готовом промышленном корпусе с площадкой для выдерживания и отгрузки. При выборе учитываем маршрут миксера, крановые операции, отопление и твердение бетона. Требования к помещению и двору определяются технологической схемой, нагрузками на основание и движением тяжелых машин.</w:t>
      </w:r>
    </w:p>
    <w:p>
      <w:pPr>
        <w:spacing w:after="120"/>
      </w:pPr>
      <w:r>
        <w:rPr>
          <w:rFonts w:ascii="Arial" w:hAnsi="Arial"/>
          <w:b w:val="0"/>
        </w:rPr>
        <w:t>Для сравнения площадок принимаем лимит аренды 1 400 000 ₸ в месяц. Открытая альтернатива вне зоны: база 576 м² на восьми сотках в Алматы, Кульджинский тракт, с указанной мощностью ТП 25 кВт. Источник: https://nedvizhka.kz/kk/post/g41y, просмотр 30.10.2026. Пригодность объекта под ЖБИ не подтверждалась. Условия корпуса и двора непосредственно в ИЗ нужно получить от управляющей компании.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2. Резюме проекта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Параметр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Значение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Основание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Ассортимент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ФБС 24-4-6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Стартовая номенклатура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Продажа нормального месяца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800 годных блоков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Выбранный план сбыта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Выпуск нормального месяца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825 отливок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Брак 3%, округление вверх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Комплект форм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60 одинарных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План мощности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Потенциальная мощность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1 560 отливок в месяц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Один оборот ×26 дней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Оснащение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50 000 000 ₸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Формы, кран, прогрев, сети, монтаж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Подготовка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10 000 000 ₸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Три месяца до начала продаж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Оборотный резерв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30 000 000 ₸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Сырье, отсрочки, сезон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Новые деньги всего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90 000 000 ₸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Собственные средства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Окупаемость проекта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51 рабочих / 54 с подготовкой месяцев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После КПН, до личного ИПН</w:t>
            </w:r>
          </w:p>
        </w:tc>
      </w:tr>
    </w:tbl>
    <w:p/>
    <w:p>
      <w:pPr>
        <w:keepNext/>
        <w:spacing w:before="280"/>
      </w:pPr>
      <w:r>
        <w:rPr>
          <w:rFonts w:ascii="Arial" w:hAnsi="Arial"/>
          <w:b/>
          <w:sz w:val="28"/>
        </w:rPr>
        <w:t>3. Общее описание проекта</w:t>
      </w:r>
    </w:p>
    <w:p>
      <w:pPr>
        <w:spacing w:after="120"/>
      </w:pPr>
      <w:r>
        <w:rPr>
          <w:rFonts w:ascii="Arial" w:hAnsi="Arial"/>
          <w:b w:val="0"/>
        </w:rPr>
        <w:t>Завод выпускает сплошные бетонные фундаментные блоки с монтажными петлями. В штат закладываем четырех производственных работников с начисленной зарплатой по 300 000 ₸, технолога и директора по 400 000 ₸. Директором работает владелец, его труд – 168 часов в месяц. Производственная бригада включает подготовленных исполнителей крановых и стропальных работ.</w:t>
      </w:r>
    </w:p>
    <w:p>
      <w:pPr>
        <w:spacing w:after="120"/>
      </w:pPr>
      <w:r>
        <w:rPr>
          <w:rFonts w:ascii="Arial" w:hAnsi="Arial"/>
          <w:b w:val="0"/>
        </w:rPr>
        <w:t>Общий фонд зарплаты – 2 млн ₸ до удержаний. Полная стоимость персонала – 2 385 600 ₸, включая бюджет ОППВ 60 000 ₸ на производственную бригаду. Применимость профессиональных взносов проверяется по перечню профессий и условиям труда. Безопасность, экологические процедуры и документы качества определяют для конкретной площадки и технологии.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4. Маркетинг и сбыт продукции</w:t>
      </w:r>
    </w:p>
    <w:p>
      <w:pPr>
        <w:spacing w:after="120"/>
      </w:pPr>
      <w:r>
        <w:rPr>
          <w:rFonts w:ascii="Arial" w:hAnsi="Arial"/>
          <w:b w:val="0"/>
        </w:rPr>
        <w:t>В расчет закладываем продажу 800 годных блоков в нормальный месяц. Это около 31 блока на каждый из 26 рабочих дней. Такой объем нужно подтвердить заказами строительных компаний и подрядчиков: в исследовании фиксируют марку, количество, даты поставки, место выгрузки и оплату. Письмо с общей заинтересованностью слабее согласованного графика закупок.</w:t>
      </w:r>
    </w:p>
    <w:p>
      <w:pPr>
        <w:spacing w:after="120"/>
      </w:pPr>
      <w:r>
        <w:rPr>
          <w:rFonts w:ascii="Arial" w:hAnsi="Arial"/>
          <w:b w:val="0"/>
        </w:rPr>
        <w:t>Цена опирается на каталог производителя в Алматы (https://www.fbs-almaty.kz/catalog.html): ФБС 24-4-6 указан по 26 000 ₸ за штуку плюс НДС. На 30 октября 2026 года в карточке также приведены размеры 2 380 × 400 × 580 мм и вес 1 300 кг. В нашем плане принимаем такую цену реализации, а доставку готовых блоков оплачивает покупатель.</w:t>
      </w:r>
    </w:p>
    <w:p>
      <w:pPr>
        <w:spacing w:after="120"/>
      </w:pPr>
      <w:r>
        <w:rPr>
          <w:rFonts w:ascii="Arial" w:hAnsi="Arial"/>
          <w:b w:val="0"/>
        </w:rPr>
        <w:t>Сравнивать заводы нужно по цене в месте выгрузки. Если один прайс содержит погрузку, а другой требует отдельной оплаты крана, строки приводят к одинаковому составу. Затем добавляют расстояние и число рейсов. При тяжелом недорогом изделии транспорт может изменить выбор поставщика сильнее небольшой скидки на заводе.</w:t>
      </w:r>
    </w:p>
    <w:p>
      <w:pPr>
        <w:spacing w:after="120"/>
      </w:pPr>
      <w:r>
        <w:rPr>
          <w:rFonts w:ascii="Arial" w:hAnsi="Arial"/>
          <w:b w:val="0"/>
        </w:rPr>
        <w:t>Закладываем оплату половины стоимости в месяце отгрузки и половины в следующем. Поэтому выручка нормального месяца составит 20 800 000 ₸ без НДС, а часть денег придет позже. Для нового покупателя это отдельный кредитный риск: в таблице сбыта нужны лимит задолженности и дата, после которой очередную отгрузку приостанавливают.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Поле заказа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Что записать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Зачем модели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Номенклатура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Марка, размеры, требования к прочности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Сопоставить цену и технологию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Количество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Партия и месяц отгрузки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Проверить загрузку и сезонность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Логистика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Кто оплачивает машину и разгрузку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Сохранить расчетную маржу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Оплата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Аванс, отсрочка, лимит долга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Посчитать дебиторскую задолженность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Приемка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Документы качества и основания возврата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Заложить испытания и брак</w:t>
            </w:r>
          </w:p>
        </w:tc>
      </w:tr>
    </w:tbl>
    <w:p/>
    <w:p>
      <w:pPr>
        <w:keepNext/>
        <w:spacing w:before="280"/>
      </w:pPr>
      <w:r>
        <w:rPr>
          <w:rFonts w:ascii="Arial" w:hAnsi="Arial"/>
          <w:b/>
          <w:sz w:val="28"/>
        </w:rPr>
        <w:t>5. Производственный план</w:t>
      </w:r>
    </w:p>
    <w:p>
      <w:pPr>
        <w:spacing w:after="120"/>
      </w:pPr>
      <w:r>
        <w:rPr>
          <w:rFonts w:ascii="Arial" w:hAnsi="Arial"/>
          <w:b w:val="0"/>
        </w:rPr>
        <w:t>Закладываем 60 одинарных форм и один оборот формы в сутки. При 26 рабочих днях получается 1 560 отливок в месяц. Продажа 800 годных блоков занимает около 53% мощности после выбранной доли брака. Такой запас позволяет обслуживать формы и переносить часть выпуска, если задерживается смесь или нужна повторная проверка партии.</w:t>
      </w:r>
    </w:p>
    <w:p>
      <w:pPr>
        <w:spacing w:after="120"/>
      </w:pPr>
      <w:r>
        <w:rPr>
          <w:rFonts w:ascii="Arial" w:hAnsi="Arial"/>
          <w:b w:val="0"/>
        </w:rPr>
        <w:t xml:space="preserve">Выпуск от продаж отделяем: при браке 3% для 800 отгрузок нужно отлить </w:t>
      </w:r>
      <w:r>
        <w:rPr>
          <w:rFonts w:ascii="Arial" w:hAnsi="Arial"/>
          <w:b/>
        </w:rPr>
        <w:t>825 блоков</w:t>
      </w:r>
      <w:r>
        <w:rPr>
          <w:rFonts w:ascii="Arial" w:hAnsi="Arial"/>
          <w:b w:val="0"/>
        </w:rPr>
        <w:t>. На одну отливку закладываем 0,54 м³ смеси, дополнительно 2% на технологические потери. Получаем 454,41 м³ в нормальный месяц. Эти нормы требуют проверки технологической картой; наружный прямоугольный объем изделия отличается от объема бетона из-за выемок.</w:t>
      </w:r>
    </w:p>
    <w:p>
      <w:pPr>
        <w:spacing w:after="120"/>
      </w:pPr>
      <w:r>
        <w:rPr>
          <w:rFonts w:ascii="Arial" w:hAnsi="Arial"/>
          <w:b w:val="0"/>
        </w:rPr>
        <w:t>Оборот за сутки достижим только при согласованном режиме твердения. Технолог подтверждает распалубочную прочность, способ выдерживания и длительность занятия формы. Если форме нужны двое суток, выпуск на том же комплекте сократится. Тогда меняются число форм, площадь, прогрев, штат и весь расчет, а не одна строка производительности.</w:t>
      </w:r>
    </w:p>
    <w:p>
      <w:pPr>
        <w:spacing w:after="120"/>
      </w:pPr>
      <w:r>
        <w:rPr>
          <w:rFonts w:ascii="Arial" w:hAnsi="Arial"/>
          <w:b w:val="0"/>
        </w:rPr>
        <w:t>Поставку смеси планируем партиями, а не равными долями каждого дня. Для 825 отливок достаточно 14 производственных дней с выбранным оборотом форм. В такой день расходуется больше 30 м³: поставка тремя машинами позволяет пройти минимальный оплачиваемый объем доставки. Остальные дни бригада обслуживает формы, выдерживает, принимает и отгружает изделия.</w:t>
      </w:r>
    </w:p>
    <w:p>
      <w:pPr>
        <w:spacing w:after="120"/>
      </w:pPr>
      <w:r>
        <w:rPr>
          <w:rFonts w:ascii="Arial" w:hAnsi="Arial"/>
          <w:b w:val="0"/>
        </w:rPr>
        <w:t>Двор считают по запасу готовой продукции и движению машин. На плане показывают места выдерживания, брак, свободный маршрут крана и погрузку. Число готовых блоков переводят в нагрузку на основание площадки. Эти данные передают проектировщику; площадь двора и допустимую укладку нельзя назначать по красивой фотографии чужого завода.</w:t>
      </w:r>
    </w:p>
    <w:p>
      <w:pPr>
        <w:keepNext/>
        <w:spacing w:before="200"/>
      </w:pPr>
      <w:r>
        <w:rPr>
          <w:rFonts w:ascii="Arial" w:hAnsi="Arial"/>
          <w:b/>
          <w:sz w:val="24"/>
        </w:rPr>
        <w:t>Сырье и доставка</w:t>
      </w:r>
    </w:p>
    <w:p>
      <w:pPr>
        <w:spacing w:after="120"/>
      </w:pPr>
      <w:r>
        <w:rPr>
          <w:rFonts w:ascii="Arial" w:hAnsi="Arial"/>
          <w:b w:val="0"/>
        </w:rPr>
        <w:t>На сайте «Алматы Бетон» (https://almatybeton.com/) М 200 стоит 24 500 ₸ за м³ с НДС. Шапка обещает доставку в этой сумме, но калькулятор прибавляет её отдельно. В разделе доставки указаны 3 000 ₸ за м³ для маршрута «до Абая» и минимум 10 м³ на рейс. В расчет берем отдельную доставку, окончательный маршрут закрепляют в предложении поставщика.</w:t>
      </w:r>
    </w:p>
    <w:p>
      <w:pPr>
        <w:spacing w:after="120"/>
      </w:pPr>
      <w:r>
        <w:rPr>
          <w:rFonts w:ascii="Arial" w:hAnsi="Arial"/>
          <w:b w:val="0"/>
        </w:rPr>
        <w:t>Бетон без входного НДС обходится в 24 500 ÷ 1,16 = 21 120,69 ₸ за м³. Сверху прибавляем 3 000 ₸ доставки целиком: её входной НДС в расчете не заявляем. Получаем 24 120,69 ₸. Перед договором сверяют адрес, класс и свойства смеси, стоимость каждой машины и документы, которые дают право на зачет НДС.</w:t>
      </w:r>
    </w:p>
    <w:p>
      <w:pPr>
        <w:spacing w:after="120"/>
      </w:pPr>
      <w:r>
        <w:rPr>
          <w:rFonts w:ascii="Arial" w:hAnsi="Arial"/>
          <w:b w:val="0"/>
        </w:rPr>
        <w:t>Для закупки недостаточно надписи М 200 на сайте. В спецификации задают требования изделия и технологию формования, а поставщик подтверждает состав и свойства партии. Слишком подвижная смесь или нестабильный срок подачи меняют режим работы. В финансовой модели эти вопросы проявляются в браке, простое бригады и повторном заказе сырья.</w:t>
      </w:r>
    </w:p>
    <w:p>
      <w:pPr>
        <w:spacing w:after="120"/>
      </w:pPr>
      <w:r>
        <w:rPr>
          <w:rFonts w:ascii="Arial" w:hAnsi="Arial"/>
          <w:b w:val="0"/>
        </w:rPr>
        <w:t>Еще 1 000 ₸ на отливку закладываем как лимит сопутствующих расходов: 400 ₸ на петли, 400 ₸ на технологическую энергию и прогрев, 200 ₸ на смазку и расходники. Это бюджетные допущения для проверки проекта. До подачи ТЭО их заменяют спецификацией материалов и расчетом потребления выбранного оборудования.</w:t>
      </w:r>
    </w:p>
    <w:p>
      <w:pPr>
        <w:spacing w:after="120"/>
      </w:pPr>
      <w:r>
        <w:rPr>
          <w:rFonts w:ascii="Arial" w:hAnsi="Arial"/>
          <w:b w:val="0"/>
        </w:rPr>
        <w:t>:::пример Нормальный месяц производства</w:t>
      </w:r>
    </w:p>
    <w:p>
      <w:pPr>
        <w:spacing w:after="120"/>
      </w:pPr>
      <w:r>
        <w:rPr>
          <w:rFonts w:ascii="Arial" w:hAnsi="Arial"/>
          <w:b w:val="0"/>
        </w:rPr>
        <w:t>825 отливок × 0,54 м³ × 1,02 = 454,41 м³ смеси.</w:t>
      </w:r>
    </w:p>
    <w:p>
      <w:pPr>
        <w:spacing w:after="120"/>
      </w:pPr>
      <w:r>
        <w:rPr>
          <w:rFonts w:ascii="Arial" w:hAnsi="Arial"/>
          <w:b w:val="0"/>
        </w:rPr>
        <w:t>454,41 м³ × 24 120,69 ₸ = 10 960 683 ₸ на бетон и доставку.</w:t>
      </w:r>
    </w:p>
    <w:p>
      <w:pPr>
        <w:spacing w:after="120"/>
      </w:pPr>
      <w:r>
        <w:rPr>
          <w:rFonts w:ascii="Arial" w:hAnsi="Arial"/>
          <w:b w:val="0"/>
        </w:rPr>
        <w:t>825 отливок × 1 000 ₸ = 825 000 ₸ прочих переменных расходов.</w:t>
      </w:r>
    </w:p>
    <w:p>
      <w:pPr>
        <w:spacing w:after="120"/>
      </w:pPr>
      <w:r>
        <w:rPr>
          <w:rFonts w:ascii="Arial" w:hAnsi="Arial"/>
          <w:b w:val="0"/>
        </w:rPr>
        <w:t>800 проданных блоков × 26 000 ₸ = 20 800 000 ₸ выручки без НДС.</w:t>
      </w:r>
    </w:p>
    <w:p>
      <w:pPr>
        <w:spacing w:after="120"/>
      </w:pPr>
      <w:r>
        <w:rPr>
          <w:rFonts w:ascii="Arial" w:hAnsi="Arial"/>
          <w:b w:val="0"/>
        </w:rPr>
        <w:t>:::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6. Финансово-экономический раздел</w:t>
      </w:r>
    </w:p>
    <w:p>
      <w:pPr>
        <w:keepNext/>
        <w:spacing w:before="200"/>
      </w:pPr>
      <w:r>
        <w:rPr>
          <w:rFonts w:ascii="Arial" w:hAnsi="Arial"/>
          <w:b/>
          <w:sz w:val="24"/>
        </w:rPr>
        <w:t>Бюджет запуска</w:t>
      </w:r>
    </w:p>
    <w:p>
      <w:pPr>
        <w:spacing w:after="120"/>
      </w:pPr>
      <w:r>
        <w:rPr>
          <w:rFonts w:ascii="Arial" w:hAnsi="Arial"/>
          <w:b w:val="0"/>
        </w:rPr>
        <w:t>На сайте BM Scandium (https://prokatmetalla.kz/p81853143-fbs-2446-forma.html) одинарная разборная форма FBS358 предлагается от 468 000 ₸. На 60 форм получается 28 080 000 ₸ по нижней цене карточки. Поскольку окончательный состав цены и НДС не раскрыты, в бюджете оставляем дополнительные 4 492 800 ₸. Их уточняют коммерческим предложением.</w:t>
      </w:r>
    </w:p>
    <w:p>
      <w:pPr>
        <w:spacing w:after="120"/>
      </w:pPr>
      <w:r>
        <w:rPr>
          <w:rFonts w:ascii="Arial" w:hAnsi="Arial"/>
          <w:b w:val="0"/>
        </w:rPr>
        <w:t>Весь лимит оснащения принимаем 50 млн ₸. После форм и запаса НДС остается 17 427 200 ₸ на крановое хозяйство, вибрацию, прогрев, электрику, монтаж и вспомогательное оснащение. Это граница нашего проекта, а не прайс готового завода. Если предложения превышают лимит, увеличивают инвестиции и повторно проверяют окупаемость.</w:t>
      </w:r>
    </w:p>
    <w:p>
      <w:pPr>
        <w:spacing w:after="120"/>
      </w:pPr>
      <w:r>
        <w:rPr>
          <w:rFonts w:ascii="Arial" w:hAnsi="Arial"/>
          <w:b w:val="0"/>
        </w:rPr>
        <w:t>На подготовку закладываем три месяца и 10 млн ₸. Аренда занимает 4,2 млн ₸, персонал на два месяца монтажа и пуска – 4 771 200 ₸. На проектные работы и документы оставляем 800 000 ₸, на прочий пуск – 228 800 ₸. Фактический график подготовки уточняют после обследования корпуса и согласования технологической схемы.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Часть бюджета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Состав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Сумма, ₸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Формы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60 × нижняя цена 468 000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28 080 000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Запас на НДС форм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Уточняется по предложению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4 492 800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Остальное оснащение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Лимит, включая монтаж и сети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17 427 200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Подготовка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Аренда, пусковой персонал, документы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10 000 000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Оборотный резерв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Сырье, отсрочки покупателей, сезон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30 000 000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/>
                <w:sz w:val="18"/>
              </w:rPr>
              <w:t>Новые деньги всего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/>
                <w:sz w:val="18"/>
              </w:rPr>
              <w:t>Полностью собственное финансирование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/>
                <w:sz w:val="18"/>
              </w:rPr>
              <w:t>90 000 000</w:t>
            </w:r>
          </w:p>
        </w:tc>
      </w:tr>
    </w:tbl>
    <w:p/>
    <w:p>
      <w:pPr>
        <w:spacing w:after="120"/>
      </w:pPr>
      <w:r>
        <w:rPr>
          <w:rFonts w:ascii="Arial" w:hAnsi="Arial"/>
          <w:b w:val="0"/>
        </w:rPr>
        <w:t>Резерв остается частью вложений, хотя его тратят постепенно. Закупку первой смеси оплачивают из него, поэтому второй раз в смете запуска сырье не добавляем. В нашем расчете кредит отсутствует. Если часть суммы дает банк, рядом появляются график выдачи, проценты, погашение и проверка покрытия платежа денежным потоком.</w:t>
      </w:r>
    </w:p>
    <w:p>
      <w:pPr>
        <w:keepNext/>
        <w:spacing w:before="200"/>
      </w:pPr>
      <w:r>
        <w:rPr>
          <w:rFonts w:ascii="Arial" w:hAnsi="Arial"/>
          <w:b/>
          <w:sz w:val="24"/>
        </w:rPr>
        <w:t>Полный месяц и доход владельца</w:t>
      </w:r>
    </w:p>
    <w:p>
      <w:pPr>
        <w:spacing w:after="120"/>
      </w:pPr>
      <w:r>
        <w:rPr>
          <w:rFonts w:ascii="Arial" w:hAnsi="Arial"/>
          <w:b w:val="0"/>
        </w:rPr>
        <w:t>Постоянные расходы закладываем 4 725 600 ₸ в месяц. Сюда входят персонал с начислениями, лимит аренды и 940 000 ₸ остальных затрат. В последней сумме учтены общие ресурсы и отопление, бухгалтерия и сбыт, лаборатория, страхование, ремонт, средства защиты и отходы. Технологическую энергию на отливку считаем отдельно, как переменный расход.</w:t>
      </w:r>
    </w:p>
    <w:p>
      <w:pPr>
        <w:spacing w:after="120"/>
      </w:pPr>
      <w:r>
        <w:rPr>
          <w:rFonts w:ascii="Arial" w:hAnsi="Arial"/>
          <w:b w:val="0"/>
        </w:rPr>
        <w:t>Амортизацию принимаем 500 000 ₸ в месяц и для расчета приравниваем бухгалтерскую к налоговой. Столько же денег ежемесячно направляем на обновление оборудования. В денежном потоке амортизация возвращается, а обновление расходует эту сумму. Поэтому прибыль после КПН совпадает с потоком до изменения задолженности покупателей.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Показатель нормального месяца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Как считаем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Сумма, ₸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Выручка без НДС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800 × 26 000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20 800 000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Бетон и доставка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Расход на 825 отливок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10 960 683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Прочие переменные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825 × 1 000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825 000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Постоянные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Персонал, аренда, остальные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4 725 600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Остаток до амортизации и КПН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Разница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4 288 717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Амортизация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Принята в модели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500 000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КПН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20% положительной прибыли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757 743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/>
                <w:sz w:val="18"/>
              </w:rPr>
              <w:t>Чистая прибыль ТОО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/>
                <w:sz w:val="18"/>
              </w:rPr>
              <w:t>После КПН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/>
                <w:sz w:val="18"/>
              </w:rPr>
              <w:t>3 030 974</w:t>
            </w:r>
          </w:p>
        </w:tc>
      </w:tr>
    </w:tbl>
    <w:p/>
    <w:p>
      <w:pPr>
        <w:spacing w:after="120"/>
      </w:pPr>
      <w:r>
        <w:rPr>
          <w:rFonts w:ascii="Arial" w:hAnsi="Arial"/>
          <w:b w:val="0"/>
        </w:rPr>
        <w:t xml:space="preserve">При распределении этой прибыли физлицу-резиденту закладываем ИПН с дивидендов 5%. После него остается 2 879 425 ₸, вместе с чистой зарплатой директора – </w:t>
      </w:r>
      <w:r>
        <w:rPr>
          <w:rFonts w:ascii="Arial" w:hAnsi="Arial"/>
          <w:b/>
        </w:rPr>
        <w:t>3 209 200 ₸</w:t>
      </w:r>
      <w:r>
        <w:rPr>
          <w:rFonts w:ascii="Arial" w:hAnsi="Arial"/>
          <w:b w:val="0"/>
        </w:rPr>
        <w:t>. Ставка применяется к нашему объему дохода; прогрессивный порог в 2026 году составляет 994 750 000 ₸ облагаемых дивидендов за год.</w:t>
      </w:r>
    </w:p>
    <w:p>
      <w:pPr>
        <w:spacing w:after="120"/>
      </w:pPr>
      <w:r>
        <w:rPr>
          <w:rFonts w:ascii="Arial" w:hAnsi="Arial"/>
          <w:b w:val="0"/>
        </w:rPr>
        <w:t>В слабом месяце с продажей 400 блоков завод получает убыток 725 584 ₸ до годового эффекта КПН. Зарплата директора продолжает начисляться, но деньги на неё частично берутся из резерва. Поэтому перечисление владельцу только его зарплаты в таком месяце нельзя показывать как доходность вложенного капитала: предприятие одновременно теряет деньги.</w:t>
      </w:r>
    </w:p>
    <w:p>
      <w:pPr>
        <w:keepNext/>
        <w:spacing w:before="200"/>
      </w:pPr>
      <w:r>
        <w:rPr>
          <w:rFonts w:ascii="Arial" w:hAnsi="Arial"/>
          <w:b/>
          <w:sz w:val="24"/>
        </w:rPr>
        <w:t>Первый год: прибыль и поступления</w:t>
      </w:r>
    </w:p>
    <w:p>
      <w:pPr>
        <w:spacing w:after="120"/>
      </w:pPr>
      <w:r>
        <w:rPr>
          <w:rFonts w:ascii="Arial" w:hAnsi="Arial"/>
          <w:b w:val="0"/>
        </w:rPr>
        <w:t>Закладываем продажи: первый месяц 400 блоков, второй 600, следующие семь по 800, последние три по 400. Половина выручки поступает в месяц отгрузки, половина – в следующем. КПН резервируется по положительной прибыли нарастающим итогом года, поэтому слабые месяцы уменьшают годовую базу. Фактические дивиденды из остатков этой таблицы не выплачены: прибыль остается в компании.</w:t>
      </w:r>
    </w:p>
    <w:p>
      <w:pPr>
        <w:spacing w:after="120"/>
      </w:pPr>
      <w:r>
        <w:rPr>
          <w:rFonts w:ascii="Arial" w:hAnsi="Arial"/>
          <w:b w:val="0"/>
        </w:rPr>
        <w:t>Денежный поток учитывает изменение дебиторской задолженности с НДС. Амортизация 500000 прибавляется к прибыли, но столько же расходуется на обновление оборудования. Суммы округлены до тенге; отрицательное изменение налогового резерва в конце года высвобождает ранее отложенные деньги.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Месяц</w:t>
            </w:r>
          </w:p>
        </w:tc>
        <w:tc>
          <w:tcPr>
            <w:tcW w:type="dxa" w:w="1662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Продажи, шт.</w:t>
            </w:r>
          </w:p>
        </w:tc>
        <w:tc>
          <w:tcPr>
            <w:tcW w:type="dxa" w:w="1662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Выручка без НДС, ₸</w:t>
            </w:r>
          </w:p>
        </w:tc>
        <w:tc>
          <w:tcPr>
            <w:tcW w:type="dxa" w:w="1662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Прибыль ТОО, ₸</w:t>
            </w:r>
          </w:p>
        </w:tc>
        <w:tc>
          <w:tcPr>
            <w:tcW w:type="dxa" w:w="1662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Денежный поток, ₸</w:t>
            </w:r>
          </w:p>
        </w:tc>
        <w:tc>
          <w:tcPr>
            <w:tcW w:type="dxa" w:w="1662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Остаток резерва, ₸</w:t>
            </w:r>
          </w:p>
        </w:tc>
      </w:tr>
      <w:tr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400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10 400 000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-725 584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-6 757 584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23 242 416</w:t>
            </w:r>
          </w:p>
        </w:tc>
      </w:tr>
      <w:tr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</w:t>
            </w:r>
          </w:p>
        </w:tc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600</w:t>
            </w:r>
          </w:p>
        </w:tc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15 600 000</w:t>
            </w:r>
          </w:p>
        </w:tc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1 370 370</w:t>
            </w:r>
          </w:p>
        </w:tc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-1 645 630</w:t>
            </w:r>
          </w:p>
        </w:tc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21 596 786</w:t>
            </w:r>
          </w:p>
        </w:tc>
      </w:tr>
      <w:tr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800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20 800 000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3 030 974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14 974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21 611 760</w:t>
            </w:r>
          </w:p>
        </w:tc>
      </w:tr>
      <w:tr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</w:t>
            </w:r>
          </w:p>
        </w:tc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800</w:t>
            </w:r>
          </w:p>
        </w:tc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20 800 000</w:t>
            </w:r>
          </w:p>
        </w:tc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3 030 974</w:t>
            </w:r>
          </w:p>
        </w:tc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3 030 974</w:t>
            </w:r>
          </w:p>
        </w:tc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24 642 734</w:t>
            </w:r>
          </w:p>
        </w:tc>
      </w:tr>
      <w:tr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5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800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20 800 000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3 030 974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3 030 974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27 673 708</w:t>
            </w:r>
          </w:p>
        </w:tc>
      </w:tr>
      <w:tr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6</w:t>
            </w:r>
          </w:p>
        </w:tc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800</w:t>
            </w:r>
          </w:p>
        </w:tc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20 800 000</w:t>
            </w:r>
          </w:p>
        </w:tc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3 030 974</w:t>
            </w:r>
          </w:p>
        </w:tc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3 030 974</w:t>
            </w:r>
          </w:p>
        </w:tc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30 704 682</w:t>
            </w:r>
          </w:p>
        </w:tc>
      </w:tr>
      <w:tr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7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800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20 800 000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3 030 974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3 030 974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33 735 656</w:t>
            </w:r>
          </w:p>
        </w:tc>
      </w:tr>
      <w:tr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</w:t>
            </w:r>
          </w:p>
        </w:tc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800</w:t>
            </w:r>
          </w:p>
        </w:tc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20 800 000</w:t>
            </w:r>
          </w:p>
        </w:tc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3 030 974</w:t>
            </w:r>
          </w:p>
        </w:tc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3 030 974</w:t>
            </w:r>
          </w:p>
        </w:tc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36 766 630</w:t>
            </w:r>
          </w:p>
        </w:tc>
      </w:tr>
      <w:tr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9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800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20 800 000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3 030 974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3 030 974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39 797 604</w:t>
            </w:r>
          </w:p>
        </w:tc>
      </w:tr>
      <w:tr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10</w:t>
            </w:r>
          </w:p>
        </w:tc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400</w:t>
            </w:r>
          </w:p>
        </w:tc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10 400 000</w:t>
            </w:r>
          </w:p>
        </w:tc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-580 467</w:t>
            </w:r>
          </w:p>
        </w:tc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5 451 533</w:t>
            </w:r>
          </w:p>
        </w:tc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45 249 136</w:t>
            </w:r>
          </w:p>
        </w:tc>
      </w:tr>
      <w:tr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11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400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10 400 000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-580 467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-580 467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44 668 669</w:t>
            </w:r>
          </w:p>
        </w:tc>
      </w:tr>
      <w:tr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12</w:t>
            </w:r>
          </w:p>
        </w:tc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400</w:t>
            </w:r>
          </w:p>
        </w:tc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10 400 000</w:t>
            </w:r>
          </w:p>
        </w:tc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-580 467</w:t>
            </w:r>
          </w:p>
        </w:tc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-580 467</w:t>
            </w:r>
          </w:p>
        </w:tc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44 088 202</w:t>
            </w:r>
          </w:p>
        </w:tc>
      </w:tr>
    </w:tbl>
    <w:p/>
    <w:p>
      <w:pPr>
        <w:spacing w:after="120"/>
      </w:pPr>
      <w:r>
        <w:rPr>
          <w:rFonts w:ascii="Arial" w:hAnsi="Arial"/>
          <w:b w:val="0"/>
        </w:rPr>
        <w:t>Прибыль первого года – 20 120 202 ₸; прирост денег до дивидендов – 14 088 202 ₸. На конец года остается дебиторка 6 032 000 ₸ с НДС. Возможный личный доход за год с зарплатой и дивидендами – 23 071 492 ₸, но сумму распределения ограничивают будущие платежи и оборотный резерв.</w:t>
      </w:r>
    </w:p>
    <w:p>
      <w:pPr>
        <w:spacing w:after="120"/>
      </w:pPr>
      <w:r>
        <w:rPr>
          <w:rFonts w:ascii="Arial" w:hAnsi="Arial"/>
          <w:b w:val="0"/>
        </w:rPr>
        <w:t>В следующие годы закладываем девять нормальных и три слабых месяца. Модель сравнивает последовательные рабочие годы в ценах 2026: первый по ставкам 2026, второй учитывает установленный рост ОПВР 2027, третий и далее – 2028. Даты фактического запуска и налоговые годы при подготовке своего календаря совмещают заново. Индексации цен и дохода от продажи оборудования в конце горизонта нет.</w:t>
      </w:r>
    </w:p>
    <w:p>
      <w:pPr>
        <w:spacing w:after="120"/>
      </w:pPr>
      <w:r>
        <w:rPr>
          <w:rFonts w:ascii="Arial" w:hAnsi="Arial"/>
          <w:b w:val="0"/>
        </w:rPr>
        <w:t>Все 90 млн ₸ устойчиво возвращаются за 51 рабочий месяц, включая три месяца подготовки – за 54. Это расчет возврата вложений проекта после КПН и обновления, до личного ИПН с дивидендов. Минимальный остаток до распределения на конец месяца 21 596 786 ₸; внутри месяца составляется отдельный платежный календарь.</w:t>
      </w:r>
    </w:p>
    <w:p>
      <w:pPr>
        <w:keepNext/>
        <w:spacing w:before="200"/>
      </w:pPr>
      <w:r>
        <w:rPr>
          <w:rFonts w:ascii="Arial" w:hAnsi="Arial"/>
          <w:b/>
          <w:sz w:val="24"/>
        </w:rPr>
        <w:t>Риски и альтернативная площадка</w:t>
      </w:r>
    </w:p>
    <w:p>
      <w:pPr>
        <w:spacing w:after="120"/>
      </w:pPr>
      <w:r>
        <w:rPr>
          <w:rFonts w:ascii="Arial" w:hAnsi="Arial"/>
          <w:b w:val="0"/>
        </w:rPr>
        <w:t>Проект выходит в ноль при продаже 465 годных блоков в месяц, включая амортизацию. Считаем дискретно: число отливок округляется вверх с учетом брака. Уровень ниже этой границы требует денег из резерва. Он полезен для контроля, но решение об инвестициях принимают по нормальной загрузке и годовому календарю, где уже есть слабый сезон.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Проверка отдельного месяца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Продажи, шт.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Прибыль ТОО, ₸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Нормальная загрузка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800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3 030 974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Слабый месяц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400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−725 584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Цена ниже на 10%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800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1 366 974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Бетон с доставкой дороже на 20%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800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1 277 265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600 продаж, цена −10%, сырье +20%, брак 6%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600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−2 012 056</w:t>
            </w:r>
          </w:p>
        </w:tc>
      </w:tr>
    </w:tbl>
    <w:p/>
    <w:p>
      <w:pPr>
        <w:spacing w:after="120"/>
      </w:pPr>
      <w:r>
        <w:rPr>
          <w:rFonts w:ascii="Arial" w:hAnsi="Arial"/>
          <w:b w:val="0"/>
        </w:rPr>
        <w:t>Совместный стресс оставляет убыток свыше 2 млн ₸ за месяц. Сохранить оклад директора в такой ситуации можно за счет компании, а дивидендов из убыточного результата нет. Если слабый сценарий затягивается, уменьшают обязательные выплаты, пересматривают цену и объем закупки. Резерв дает время на эти решения, но расходуется с каждой неудачной партией.</w:t>
      </w:r>
    </w:p>
    <w:p>
      <w:pPr>
        <w:spacing w:after="120"/>
      </w:pPr>
      <w:r>
        <w:rPr>
          <w:rFonts w:ascii="Arial" w:hAnsi="Arial"/>
          <w:b w:val="0"/>
        </w:rPr>
        <w:t>Еще одна проверка – запас форм и готового изделия. В финансовом плане можно показать отгрузку в день изготовления, хотя технология требует выдерживания. В этом случае занижены двор, незавершенное производство и оборотные деньги. Перед подачей сверьте даты выпуска, испытания, приемки и выставления счета на одной партии, затем перенесите их на месячный объем.</w:t>
      </w:r>
    </w:p>
    <w:p>
      <w:pPr>
        <w:spacing w:after="120"/>
      </w:pPr>
      <w:r>
        <w:rPr>
          <w:rFonts w:ascii="Arial" w:hAnsi="Arial"/>
          <w:b w:val="0"/>
        </w:rPr>
        <w:t>:::чек-лист Перед отправкой ТЭО</w:t>
      </w:r>
    </w:p>
    <w:p>
      <w:pPr>
        <w:spacing w:after="120"/>
      </w:pPr>
      <w:r>
        <w:rPr>
          <w:rFonts w:ascii="Arial" w:hAnsi="Arial"/>
          <w:b w:val="0"/>
        </w:rPr>
        <w:t>Продукция подходит выбранной площадке, критерий допуска разобран отдельно</w:t>
      </w:r>
    </w:p>
    <w:p>
      <w:pPr>
        <w:spacing w:after="120"/>
      </w:pPr>
      <w:r>
        <w:rPr>
          <w:rFonts w:ascii="Arial" w:hAnsi="Arial"/>
          <w:b w:val="0"/>
        </w:rPr>
        <w:t>Все семь разделов заполнены данными проекта</w:t>
      </w:r>
    </w:p>
    <w:p>
      <w:pPr>
        <w:spacing w:after="120"/>
      </w:pPr>
      <w:r>
        <w:rPr>
          <w:rFonts w:ascii="Arial" w:hAnsi="Arial"/>
          <w:b w:val="0"/>
        </w:rPr>
        <w:t>Формы и режим твердения дают рассчитанный выпуск</w:t>
      </w:r>
    </w:p>
    <w:p>
      <w:pPr>
        <w:spacing w:after="120"/>
      </w:pPr>
      <w:r>
        <w:rPr>
          <w:rFonts w:ascii="Arial" w:hAnsi="Arial"/>
          <w:b w:val="0"/>
        </w:rPr>
        <w:t>Сети подтверждены по одновременной нагрузке оборудования</w:t>
      </w:r>
    </w:p>
    <w:p>
      <w:pPr>
        <w:spacing w:after="120"/>
      </w:pPr>
      <w:r>
        <w:rPr>
          <w:rFonts w:ascii="Arial" w:hAnsi="Arial"/>
          <w:b w:val="0"/>
        </w:rPr>
        <w:t>Цена продукции и доставка приведены к одинаковому составу</w:t>
      </w:r>
    </w:p>
    <w:p>
      <w:pPr>
        <w:spacing w:after="120"/>
      </w:pPr>
      <w:r>
        <w:rPr>
          <w:rFonts w:ascii="Arial" w:hAnsi="Arial"/>
          <w:b w:val="0"/>
        </w:rPr>
        <w:t>Зарплата директора, налоги, брак и обновление включены в расходы</w:t>
      </w:r>
    </w:p>
    <w:p>
      <w:pPr>
        <w:spacing w:after="120"/>
      </w:pPr>
      <w:r>
        <w:rPr>
          <w:rFonts w:ascii="Arial" w:hAnsi="Arial"/>
          <w:b w:val="0"/>
        </w:rPr>
        <w:t>Вложения содержат подготовку и оборотный резерв</w:t>
      </w:r>
    </w:p>
    <w:p>
      <w:pPr>
        <w:spacing w:after="120"/>
      </w:pPr>
      <w:r>
        <w:rPr>
          <w:rFonts w:ascii="Arial" w:hAnsi="Arial"/>
          <w:b w:val="0"/>
        </w:rPr>
        <w:t>Прибыль и поступления покупателей показаны раздельно</w:t>
      </w:r>
    </w:p>
    <w:p>
      <w:pPr>
        <w:spacing w:after="120"/>
      </w:pPr>
      <w:r>
        <w:rPr>
          <w:rFonts w:ascii="Arial" w:hAnsi="Arial"/>
          <w:b w:val="0"/>
        </w:rPr>
        <w:t>Альтернатива вне зоны посчитана по сопоставимым правилам</w:t>
      </w:r>
    </w:p>
    <w:p>
      <w:pPr>
        <w:spacing w:after="120"/>
      </w:pPr>
      <w:r>
        <w:rPr>
          <w:rFonts w:ascii="Arial" w:hAnsi="Arial"/>
          <w:b w:val="0"/>
        </w:rPr>
        <w:t>Обязательства договора совпадают с календарем и финансированием</w:t>
      </w:r>
    </w:p>
    <w:p>
      <w:pPr>
        <w:spacing w:after="120"/>
      </w:pPr>
      <w:r>
        <w:rPr>
          <w:rFonts w:ascii="Arial" w:hAnsi="Arial"/>
          <w:b w:val="0"/>
        </w:rPr>
        <w:t>:::</w:t>
      </w:r>
    </w:p>
    <w:p>
      <w:pPr>
        <w:spacing w:after="120"/>
      </w:pPr>
      <w:r>
        <w:rPr>
          <w:rFonts w:ascii="Arial" w:hAnsi="Arial"/>
          <w:b w:val="0"/>
        </w:rPr>
        <w:t>При сравнимых исходных условиях предел аренды внутри и вне зоны принят одинаковым. Числовое преимущество ИЗ до адресного предложения управляющей компании не присваивается. Меняют подтвержденные суммы аренды, сетей, перевозки, сроки подготовки и режим налогов. Для СЭЗ сначала проверяют допуск и право на преференции; нулевой КПН ИЗ в этой модели не используется.</w:t>
      </w:r>
    </w:p>
    <w:p>
      <w:pPr>
        <w:spacing w:after="120"/>
      </w:pPr>
      <w:r>
        <w:rPr>
          <w:rFonts w:ascii="Arial" w:hAnsi="Arial"/>
          <w:b w:val="0"/>
        </w:rPr>
        <w:t>Региональный результат плана – шесть рабочих мест, фонд начисленной зарплаты 2 млн ₸ в месяц и закупка бетона с местными услугами. В бюджетном эффекте отдельно отражают удержания работников и начисления работодателя. Импортозамещение в тоннах и тенге считают после исследования потребления конкретного изделия.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7. Приложения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Документ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Уже есть в образце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Что получить под свой проект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Подтверждение спроса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Номенклатура, открытая цена, объем плана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Заказы по месяцам с оплатой и доставкой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Сырье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Прайс смеси и порядок доставки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Адресный расчет, состав, документы НДС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Оснащение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Карточка формы и количество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Счета, кран, вибрация, прогрев, монтаж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Площадка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Цена внешней альтернативы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Корпус и двор ИЗ, нагрузки, сети, договор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Технология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Выпуск, брак, объем смеси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Карту твердения, прочность, приемку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Финансирование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Бюджет 90 млн без кредита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Решение участника и доступность средств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Допуск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Семь разделов приказа№501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Процедуру УК и решение регионального совета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Охрана труда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Бюджеты взносов и защиты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Профессии, условия, обучение, аттестацию</w:t>
            </w:r>
          </w:p>
        </w:tc>
      </w:tr>
    </w:tbl>
    <w:p/>
    <w:p>
      <w:pPr>
        <w:keepNext/>
        <w:spacing w:before="200"/>
      </w:pPr>
      <w:r>
        <w:rPr>
          <w:rFonts w:ascii="Arial" w:hAnsi="Arial"/>
          <w:b/>
          <w:sz w:val="24"/>
        </w:rPr>
        <w:t>Источники</w:t>
      </w:r>
    </w:p>
    <w:p>
      <w:pPr>
        <w:spacing w:after="120"/>
      </w:pPr>
      <w:r>
        <w:rPr>
          <w:rFonts w:ascii="Arial" w:hAnsi="Arial"/>
          <w:b w:val="0"/>
        </w:rPr>
        <w:t>Проверено 30 октября 2026 года. Открытые прайсы показывают цены предложения; характеристики и условия поставки закрепляют в документах проекта. В расчетных таблицах отдельно обозначены выбранные объемы, бюджетные лимиты и параметры, которые подтверждают технолог и управляющая компания.</w:t>
      </w:r>
    </w:p>
    <w:p>
      <w:pPr>
        <w:pStyle w:val="ListBullet"/>
      </w:pPr>
      <w:r>
        <w:rPr>
          <w:rFonts w:ascii="Arial" w:hAnsi="Arial"/>
          <w:b w:val="0"/>
        </w:rPr>
        <w:t>Приказ МИИР №501 от 11.07.2019 (https://old.adilet.zan.kz/rus/docs/V1900019045): семь разделов ТЭО участника, содержание расчетов и приложений.</w:t>
      </w:r>
    </w:p>
    <w:p>
      <w:pPr>
        <w:pStyle w:val="ListBullet"/>
      </w:pPr>
      <w:r>
        <w:rPr>
          <w:rFonts w:ascii="Arial" w:hAnsi="Arial"/>
          <w:b w:val="0"/>
        </w:rPr>
        <w:t>Закон «О специальных экономических и индустриальных зонах» (https://old.adilet.zan.kz/rus/docs/Z1900000242): статьи 18, 34, 51; действующий текст с изменениями 2026 года.</w:t>
      </w:r>
    </w:p>
    <w:p>
      <w:pPr>
        <w:pStyle w:val="ListBullet"/>
      </w:pPr>
      <w:r>
        <w:rPr>
          <w:rFonts w:ascii="Arial" w:hAnsi="Arial"/>
          <w:b w:val="0"/>
        </w:rPr>
        <w:t>Налоговый кодекс 2026 года (https://old.adilet.zan.kz/rus/docs/K2500000214): налоги предприятия и условия преференций СЭЗ.</w:t>
      </w:r>
    </w:p>
    <w:p>
      <w:pPr>
        <w:pStyle w:val="ListBullet"/>
      </w:pPr>
      <w:r>
        <w:rPr>
          <w:rFonts w:ascii="Arial" w:hAnsi="Arial"/>
          <w:b w:val="0"/>
        </w:rPr>
        <w:t>Минфин: вопросы по налоговому администрированию (https://www.gov.kz/org/minfin/documents/details/1030415?lang=ru): КПН и ИПН с дивидендов в 2026 году.</w:t>
      </w:r>
    </w:p>
    <w:p>
      <w:pPr>
        <w:pStyle w:val="ListBullet"/>
      </w:pPr>
      <w:r>
        <w:rPr>
          <w:rFonts w:ascii="Arial" w:hAnsi="Arial"/>
          <w:b w:val="0"/>
        </w:rPr>
        <w:t>КГД: изменения социального налога (https://kst.kgd.gov.kz/ru/news/izmeneniya-po-socialnomu-nalogu-v-2026-godu-12-163416), 18.02.2026: ставка и новый порядок расчета.</w:t>
      </w:r>
    </w:p>
    <w:p>
      <w:pPr>
        <w:pStyle w:val="ListBullet"/>
      </w:pPr>
      <w:r>
        <w:rPr>
          <w:rFonts w:ascii="Arial" w:hAnsi="Arial"/>
          <w:b w:val="0"/>
        </w:rPr>
        <w:t>ЕНПФ: обязательные профессиональные пенсионные взносы (https://www.enpf.kz/ru/services/pension/ups/330/281180/): ставка 5%, перечень профессий и условия начисления.</w:t>
      </w:r>
    </w:p>
    <w:p>
      <w:pPr>
        <w:pStyle w:val="ListBullet"/>
      </w:pPr>
      <w:r>
        <w:rPr>
          <w:rFonts w:ascii="Arial" w:hAnsi="Arial"/>
          <w:b w:val="0"/>
        </w:rPr>
        <w:t>KAZAKH INVEST: сравнение СЭЗ и ИЗ (https://invest.gov.kz/ru/doing-business-here/fez-and/sez-or-iz-which-site-to-choose/): различия площадок; налоговые нормы сверены с НК-2026.</w:t>
      </w:r>
    </w:p>
    <w:p>
      <w:pPr>
        <w:pStyle w:val="ListBullet"/>
      </w:pPr>
      <w:r>
        <w:rPr>
          <w:rFonts w:ascii="Arial" w:hAnsi="Arial"/>
          <w:b w:val="0"/>
        </w:rPr>
        <w:t>ФБС Алматы (https://www.fbs-almaty.kz/catalog.html): ФБС 24-4-6, размеры и цена 26 000 ₸ плюс НДС.</w:t>
      </w:r>
    </w:p>
    <w:p>
      <w:pPr>
        <w:pStyle w:val="ListBullet"/>
      </w:pPr>
      <w:r>
        <w:rPr>
          <w:rFonts w:ascii="Arial" w:hAnsi="Arial"/>
          <w:b w:val="0"/>
        </w:rPr>
        <w:t>Алматы Бетон (https://almatybeton.com/): М 200 по 24 500 ₸/м³, доставка и минимальный оплачиваемый объем; расхождение шапки с калькулятором учтено отдельным расходом.</w:t>
      </w:r>
    </w:p>
    <w:p>
      <w:pPr>
        <w:pStyle w:val="ListBullet"/>
      </w:pPr>
      <w:r>
        <w:rPr>
          <w:rFonts w:ascii="Arial" w:hAnsi="Arial"/>
          <w:b w:val="0"/>
        </w:rPr>
        <w:t>BM Scandium (https://prokatmetalla.kz/p81853143-fbs-2446-forma.html): одинарная форма FBS358 от 468 000 ₸.</w:t>
      </w:r>
    </w:p>
    <w:p>
      <w:pPr>
        <w:pStyle w:val="ListBullet"/>
      </w:pPr>
      <w:r>
        <w:rPr>
          <w:rFonts w:ascii="Arial" w:hAnsi="Arial"/>
          <w:b w:val="0"/>
        </w:rPr>
        <w:t>Предложение производственной базы в Алматы (https://nedvizhka.kz/kk/post/g41y): ориентир сравнения аренды вне зоны, 576 м² за 1 400 000 ₸ в месяц.</w:t>
      </w:r>
    </w:p>
    <w:p>
      <w:pPr>
        <w:spacing w:after="120"/>
      </w:pPr>
      <w:r>
        <w:rPr>
          <w:rFonts w:ascii="Arial" w:hAnsi="Arial"/>
          <w:b w:val="0"/>
        </w:rPr>
        <w:t>Нужна модель под ваш проект – закажите разработку: www.biz-plan.kz/biznes-plan-sez.html.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Сравнение эффекта КПН для СЭЗ</w:t>
      </w:r>
    </w:p>
    <w:p>
      <w:pPr>
        <w:spacing w:after="120"/>
      </w:pPr>
      <w:r>
        <w:rPr>
          <w:rFonts w:ascii="Arial" w:hAnsi="Arial"/>
          <w:b w:val="0"/>
        </w:rPr>
        <w:t>Для сравнения закладываем получение статуса участника СЭЗ и права на уменьшение КПН по всей нашей приоритетной деятельности. Меняем только КПН; аренду, цены, зарплаты, производство и отсрочки сохраняем. Это позволяет измерить эффект одной льготы до сравнения полных условий площадок. Земельный налог и налог на имущество у арендатора равны 0 ₸ в обоих вариантах.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Показатель</w:t>
            </w:r>
          </w:p>
        </w:tc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ИЗ, КПН 20%</w:t>
            </w:r>
          </w:p>
        </w:tc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СЭЗ, уменьшение КПН на 100%</w:t>
            </w:r>
          </w:p>
        </w:tc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Разница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Прибыль нормального месяца, ₸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3 030 974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3 788 717</w:t>
            </w:r>
          </w:p>
        </w:tc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+757 743</w:t>
            </w:r>
          </w:p>
        </w:tc>
      </w:tr>
      <w:tr>
        <w:tc>
          <w:tcPr>
            <w:tcW w:type="dxa" w:w="2493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Прибыль первого года, ₸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20 120 202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25 150 252</w:t>
            </w:r>
          </w:p>
        </w:tc>
        <w:tc>
          <w:tcPr>
            <w:tcW w:type="dxa" w:w="2493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+5 030 050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Поток первого года после отсрочек, ₸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14 088 202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19 118 252</w:t>
            </w:r>
          </w:p>
        </w:tc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+5 030 050</w:t>
            </w:r>
          </w:p>
        </w:tc>
      </w:tr>
      <w:tr>
        <w:tc>
          <w:tcPr>
            <w:tcW w:type="dxa" w:w="2493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КПН второго года, ₸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6 336 341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0</w:t>
            </w:r>
          </w:p>
        </w:tc>
        <w:tc>
          <w:tcPr>
            <w:tcW w:type="dxa" w:w="2493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Экономия 6 336 341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КПН третьего года, ₸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6 312 341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0</w:t>
            </w:r>
          </w:p>
        </w:tc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Экономия 6 312 341</w:t>
            </w:r>
          </w:p>
        </w:tc>
      </w:tr>
      <w:tr>
        <w:tc>
          <w:tcPr>
            <w:tcW w:type="dxa" w:w="2493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Возврат вложений, рабочих месяцев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51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40</w:t>
            </w:r>
          </w:p>
        </w:tc>
        <w:tc>
          <w:tcPr>
            <w:tcW w:type="dxa" w:w="2493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На 11 раньше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Возврат с подготовкой, месяцев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54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43</w:t>
            </w:r>
          </w:p>
        </w:tc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На 11 раньше</w:t>
            </w:r>
          </w:p>
        </w:tc>
      </w:tr>
    </w:tbl>
    <w:p/>
    <w:p>
      <w:pPr>
        <w:spacing w:after="120"/>
      </w:pPr>
      <w:r>
        <w:rPr>
          <w:rFonts w:ascii="Arial" w:hAnsi="Arial"/>
          <w:b w:val="0"/>
        </w:rPr>
        <w:t>В этом сравнении новые вложения в обоих вариантах равны 90 млн ₸, а личный налог с дивидендов считается отдельно. Срок проверен по всему денежному календарю: после указанного месяца накопленный поток остается положительным. Более дорогие сети, корпус или доставка в СЭЗ сократят эффект, поэтому перед выбором пересчитайте все различающиеся условия.</w:t>
      </w:r>
    </w:p>
    <w:p>
      <w:pPr>
        <w:spacing w:after="120"/>
      </w:pPr>
      <w:r>
        <w:rPr>
          <w:rFonts w:ascii="Arial" w:hAnsi="Arial"/>
          <w:b w:val="0"/>
        </w:rPr>
        <w:t>Источники: НК-2026, статьи 734–735; действующая редакция проверена 30.10.2026: https://old.adilet.zan.kz/rus/docs/K2500000214. Расчет – calculations.json. Внутри модели сохраняется полная точность, суммы в документе округлены до целого тенге.</w:t>
      </w:r>
    </w:p>
    <w:sectPr w:rsidR="00FC693F" w:rsidRPr="0006063C" w:rsidSect="00034616">
      <w:headerReference w:type="default" r:id="rId9"/>
      <w:pgSz w:w="12240" w:h="15840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/>
        <w:b w:val="0"/>
        <w:color w:val="5D6A62"/>
        <w:sz w:val="16"/>
      </w:rPr>
      <w:t>Образец бизнес-проекта · «Бизнес Проект» · www.biz-plan.kz · +7 (702) 286-58-26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