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Финансовый план СТО: заполненный образец трех отчетов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свой проект – закажите разработку на www.biz-plan.kz/uslugi.html#finmodel. Дата проверки источников 30.10.2026. Пример показывает управленческий финансовый план ИП на упрощенной декларации в Алматы, без НДС. Прайсы, нормативные ставки и выбранные допущения разделены в основной статье.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Параметры проекта</w:t>
      </w:r>
    </w:p>
    <w:p>
      <w:pPr>
        <w:spacing w:after="120"/>
      </w:pPr>
      <w:r>
        <w:rPr>
          <w:rFonts w:ascii="Arial" w:hAnsi="Arial"/>
          <w:b w:val="0"/>
        </w:rPr>
        <w:t>Три поста, четыре механика по сдельной схеме, владелец занимается приемкой и управлением 180 часов в месяц. Нормальный месяц – 520 операций. Отдельные операции одной машины не равны отдельным клиентам. Прайс USA Garage открыт 30.10.2026; берем стоимость работы, запчасти и жидкости клиент приобретает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работы,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Количество в 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масла в КПП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1 950 000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шаровой опоры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свечей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Диагностика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колодок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Средняя операция 10 000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520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5 200 000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Продолжительность операций выбираем 1,5 / 1 / 0,75 / 0,5 / 0,5 часа. Всего 465 часов; запас 20% на подготовку дает 558 посто-часов. Мощность трех постов по 26 дней и 8 часов – 624 часа. У механиков вместе 672 человеко-часа. Технологические нормы замените своими до утверждения загрузки.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Финансирование и подготовка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Стартовая 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Отражение после запуска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Оснащение и монтаж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Оборудование, затем амортизация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Расходы бизнеса и труд владельца до продаж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Запас расходников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Запас, списание по использованию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Возвратный депозит аренды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Актив до возврата или зачета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Денежный резерв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на рабочем старте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18 000 000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Свои 13 млн, заем 5 млн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Источники: свои 13 млн ₸, заем 5 млн ₸. Подготовка 1 месяц: расходы бизнеса 1 700 000 ₸ плюс труд владельца 300 000 ₸. Механики в подготовке: 4 × 100 000 начислено, 444 000 с платежами; аренда 500 000, реклама 200 000, прочий запуск 556 000 ₸. После подготовки активы рабочего старта равны 16 млн ₸, источники – заем 5 млн и капитал 11 млн.</w:t>
      </w:r>
    </w:p>
    <w:p>
      <w:pPr>
        <w:spacing w:after="120"/>
      </w:pPr>
      <w:r>
        <w:rPr>
          <w:rFonts w:ascii="Arial" w:hAnsi="Arial"/>
          <w:b w:val="0"/>
        </w:rPr>
        <w:t>Для займа выбираем номинальную ставку 24,99%, 60 месяцев, аннуитет без льготы и комиссии. Платеж 146 727 ₸. Это расчет по варианту без комиссии из открытой карточки KMF; предложение банка на свою заявку получают отдельно. Проценты входят в ОПУ, основной долг – в ДДС и баланс.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Люди, налог и расходы</w:t>
      </w:r>
    </w:p>
    <w:p>
      <w:pPr>
        <w:spacing w:after="120"/>
      </w:pPr>
      <w:r>
        <w:rPr>
          <w:rFonts w:ascii="Arial" w:hAnsi="Arial"/>
          <w:b w:val="0"/>
        </w:rPr>
        <w:t>Сдельную оплату закладываем 45% выручки от работ. При 5,2 млн ₸ каждому из четырех механиков начислено 585 000 ₸. Общая начисленная зарплата 2 340 000 ₸; ОПВР 81 900, социальные отчисления 105 300, отчисления ОСМС 70 200; полная стоимость 2 597 400 ₸. Удержания сотрудников уже внутри начисленной зарплаты.</w:t>
      </w:r>
    </w:p>
    <w:p>
      <w:pPr>
        <w:spacing w:after="120"/>
      </w:pPr>
      <w:r>
        <w:rPr>
          <w:rFonts w:ascii="Arial" w:hAnsi="Arial"/>
          <w:b w:val="0"/>
        </w:rPr>
        <w:t>На расходники закладываем 1 000 ₸ за операцию. Постоянные денежные расходы 901 675 ₸: аренда 500 000, ресурсы 120 000, учет 40 000, реклама 100 000, страхование 20 000, отходы 40 000, ремонт/обновление 40 000, прочие 20 000, взносы ИП 21 675. Амортизация оснащения – 150 000 ₸ в месяц.</w:t>
      </w:r>
    </w:p>
    <w:p>
      <w:pPr>
        <w:spacing w:after="120"/>
      </w:pPr>
      <w:r>
        <w:rPr>
          <w:rFonts w:ascii="Arial" w:hAnsi="Arial"/>
          <w:b w:val="0"/>
        </w:rPr>
        <w:t>Налог на упрощенной декларации Алматы – 3% выручки. Начисляется в месяц выполнения услуги, уплачивается по итогам полугодия. В этом расчетном году платежи поставлены на месяцы 8 и 14, затем каждые 6 месяцев; фактическую дату запуска совместите с налоговым календарем. Все социальные платежи в модели перечисляются в месяце начисления.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ОПУ нормального месяца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ОПУ месяца 4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получено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Пять видов работ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Расходники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(520 000)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520 операций × 1 000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Механики с платежами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(2 597 400)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Сдельно 45% плюс начисления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 денежные расходы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(901 675)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Включая взносы ИП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Kaspi QR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(39 520)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0,95% с оплачиваемых сразу 80%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Амортизация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(150 000)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9 млн / 60 месяцев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Проценты по займу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(101 408)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долга × ставка месяца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 дохода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(156 000)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3% выручки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Прибыль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733 997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После перечисленных расходов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Труд владельца 300 000 ₸ показан отдельным изъятием в ДДС. Для ИП это часть распоряжения заработанными деньгами. ОПУ выше – управленческий отчет до этого изъятия; результат на капитал оценивают после труда, долга и сохранения оборота.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5. График оплаты и запасов</w:t>
      </w:r>
    </w:p>
    <w:p>
      <w:pPr>
        <w:spacing w:after="120"/>
      </w:pPr>
      <w:r>
        <w:rPr>
          <w:rFonts w:ascii="Arial" w:hAnsi="Arial"/>
          <w:b w:val="0"/>
        </w:rPr>
        <w:t>80% продаж оплачивается сразу через Kaspi QR с комиссией 0,95%, 20% – банковским переводом в следующем месяце. На конец месяца 4 дебиторка 1 040 000 ₸; из прошлого месяца поступают 832 000 ₸. Поступления месяца 4: 4 160 000 + 832 000 = 4 992 000 ₸.</w:t>
      </w:r>
    </w:p>
    <w:p>
      <w:pPr>
        <w:spacing w:after="120"/>
      </w:pPr>
      <w:r>
        <w:rPr>
          <w:rFonts w:ascii="Arial" w:hAnsi="Arial"/>
          <w:b w:val="0"/>
        </w:rPr>
        <w:t>Запас на конец месяца =600 000 ₸ + стоимость месячного расхода. На конец месяца 4 это 1 120 000 ₸, прирост 104 000. Закупка =потребление 520 000 + прирост 104 000 =624 000 ₸. Половина оплачивается сразу, половина через месяц. Долг поставщикам 312 000 ₸; его прирост 78 000, значит, фактическая оплата 546 000 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6. ДДС месяца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ДДС месяца 4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Смысл платежа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на начало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4 426 953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месяца 3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Поступления покупателей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4 992 000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Текущие 80% и прошлые 20%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Оплата расходников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(546 000)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Текущая половина и прошлый долг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Штат, постоянные и QR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(3 538 595)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Денежные расходы месяца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Проценты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(101 408)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Стоимость займа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фактически уплачен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Накоплен к полугодовому сроку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Операционный поток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805 997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Поступления минус операционные выплаты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Тело кредита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(45 320)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Уменьшение основного долга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Труд владельца, изъятие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(300 000)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Отдельно от прибыли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Деньги на конец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4 887 631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Прирост на 460 678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Мост от прибыли к операционным деньгам: 733 997 + 150 000 амортизации − 208 000 роста дебиторки − 104 000 роста запаса + 78 000 роста кредиторки + 156 000 роста налога к уплате =805 997 ₸. После тела займа и труда владельца прирост счета равен 460 678 ₸. После отделения прироста налогового обязательства свободный остаток увеличился на 304 678 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7. Прогнозный баланс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Баланс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Рабочий старт,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Конец месяца 4,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 после амортизации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8 400 000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Запас расходников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1 120 000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Долг клиентов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1 040 000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Возвратный депозит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4 887 631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Всего активов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16 447 631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займа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4 824 193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Долг поставщикам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312 000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к уплате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468 000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Капитал владельца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10 843 437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Всего источников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16 447 631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Проверка каждого месяца: активы − обязательства − капитал =0. Капитал рабочего старта 11 млн ₸, далее прибавляется прибыль, вычитаются изъятия на труд и капитал. Возврат кредита уменьшает долг, а не прибыль. Возвратный депозит сохраняется активом до возврата или зачета.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8. Первый рабочий год</w:t>
      </w:r>
    </w:p>
    <w:p>
      <w:pPr>
        <w:spacing w:after="120"/>
      </w:pPr>
      <w:r>
        <w:rPr>
          <w:rFonts w:ascii="Arial" w:hAnsi="Arial"/>
          <w:b w:val="0"/>
        </w:rPr>
        <w:t>Первые месяцы: 50%, 70%, 80% нормального объема, затем полный план и три слабых месяца по 70%. Количество каждой услуги округляется вниз. Отдельный столбец показывает начисленный налог, который еще предстоит оплатить; его нельзя распределять владельцу как свободную прибыль.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Прибыль,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Деньги до выплаты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Налог к уплате,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2 600 000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−212 260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4 353 138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78 000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166 043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4 296 891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187 200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4 160 000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355 657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4 426 953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312 000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733 997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4 887 631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468 000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734 941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5 530 308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624 000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735 905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6 224 986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780 000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736 888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6 919 664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936 000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737 892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6 834 342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312 000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738 917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7 529 019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468 000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173 839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7 922 773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577 200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174 907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8 082 527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686 400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175 997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8 164 280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795 600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Итог года: выручка 52 520 000 ₸, прибыль 5 252 724 ₸, операционный поток 7 338 324 ₸. Тело займа погашено на 574 044 ₸. Владелец получает 3 600 000 ₸ за труд и 2 368 680 ₸ на капитал, всего 5 968 680 ₸. После распределения на счете 5 795 600 ₸: резерв 5 млн и налог 795 600.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9. Резерв, показатели и стресс</w:t>
      </w:r>
    </w:p>
    <w:p>
      <w:pPr>
        <w:spacing w:after="120"/>
      </w:pPr>
      <w:r>
        <w:rPr>
          <w:rFonts w:ascii="Arial" w:hAnsi="Arial"/>
          <w:b w:val="0"/>
        </w:rPr>
        <w:t>На конец месяца минимальные деньги первого года – 4 296 891 ₸, после отделения налога 4 109 691 ₸. В дневной проверке все платежи дня ставим раньше поступлений. Минимум денег до дневной выручки 3 160 000 ₸, свободный минимум после налога – 2 893 758 ₸. Оплата постоянных расходов и текущей половины закупки в день 1, прошлой дебиторки в день 10, кредиторки в день 15, кредита в день 27, персонала в день 28, владельца в день 30.</w:t>
      </w:r>
    </w:p>
    <w:p>
      <w:pPr>
        <w:spacing w:after="120"/>
      </w:pPr>
      <w:r>
        <w:rPr>
          <w:rFonts w:ascii="Arial" w:hAnsi="Arial"/>
          <w:b w:val="0"/>
        </w:rPr>
        <w:t>Безубыточность ОПУ около 318 операций при прежнем наборе и среднем чеке 10 000 ₸. Для ровного оборота с оплатой всего займа и 300 000 ₸ труда владельца – около 372. DSCR первого года после труда и налогового резерва – 2,35. Возврат всех 18 млн ₸ проекта по календарю без кредитных потоков – 39 рабочих месяцев, с подготовкой 40. Фактический возврат своих 13 млн считают отдельно по выплатам на капитал.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Сценарий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Прибыль месяца 4,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Прибыль первого года,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Минимум денег после налога на конец месяца,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−30%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167 873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−491 205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1 900 351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 −10%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493 289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2 821 574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3 716 737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Расходники +20%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629 997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4 202 324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3 870 553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Отсрочка 2 месяца вместо 1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733 997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5 252 724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3 386 953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ОППВ 5% для подходящих рабочих мест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616 997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4 071 024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3 880 953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Совместно объем −30%, цена −10%, расходники +20%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−73 422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−2 924 063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−507 167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Отсрочка на 2 месяца сохраняет прибыль и меняет деньги через дебиторку. Совместный стресс требует дополнительного пополнения как минимум 507 167 ₸ на конец месяца. До решения пересчитайте и его дневной график. Все стрессы, 60 месячных балансов и 1 800 дневных строк сохранены в calculations.json.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10. Что заменить в своей копии</w:t>
      </w:r>
    </w:p>
    <w:p>
      <w:pPr>
        <w:pStyle w:val="ListNumber"/>
      </w:pPr>
      <w:r>
        <w:rPr>
          <w:rFonts w:ascii="Arial" w:hAnsi="Arial"/>
          <w:b w:val="0"/>
        </w:rPr>
        <w:t>Город, налоговый режим и фактические даты запуска.</w:t>
      </w:r>
    </w:p>
    <w:p>
      <w:pPr>
        <w:pStyle w:val="ListNumber"/>
      </w:pPr>
      <w:r>
        <w:rPr>
          <w:rFonts w:ascii="Arial" w:hAnsi="Arial"/>
          <w:b w:val="0"/>
        </w:rPr>
        <w:t>Услуги, цены, технологические часы и подтвержденную запись.</w:t>
      </w:r>
    </w:p>
    <w:p>
      <w:pPr>
        <w:pStyle w:val="ListNumber"/>
      </w:pPr>
      <w:r>
        <w:rPr>
          <w:rFonts w:ascii="Arial" w:hAnsi="Arial"/>
          <w:b w:val="0"/>
        </w:rPr>
        <w:t>Штат, процент или оклады, льготы и профессиональные взносы.</w:t>
      </w:r>
    </w:p>
    <w:p>
      <w:pPr>
        <w:pStyle w:val="ListNumber"/>
      </w:pPr>
      <w:r>
        <w:rPr>
          <w:rFonts w:ascii="Arial" w:hAnsi="Arial"/>
          <w:b w:val="0"/>
        </w:rPr>
        <w:t>Оснащение, срок использования, депозит и расходники.</w:t>
      </w:r>
    </w:p>
    <w:p>
      <w:pPr>
        <w:pStyle w:val="ListNumber"/>
      </w:pPr>
      <w:r>
        <w:rPr>
          <w:rFonts w:ascii="Arial" w:hAnsi="Arial"/>
          <w:b w:val="0"/>
        </w:rPr>
        <w:t>Оплату клиентов, условия поставщиков, проценты и даты платежей.</w:t>
      </w:r>
    </w:p>
    <w:p>
      <w:pPr>
        <w:pStyle w:val="ListNumber"/>
      </w:pPr>
      <w:r>
        <w:rPr>
          <w:rFonts w:ascii="Arial" w:hAnsi="Arial"/>
          <w:b w:val="0"/>
        </w:rPr>
        <w:t>Рабочий минимум, труд владельца и порядок изъятий.</w:t>
      </w:r>
    </w:p>
    <w:p>
      <w:pPr>
        <w:spacing w:after="120"/>
      </w:pPr>
      <w:r>
        <w:rPr>
          <w:rFonts w:ascii="Arial" w:hAnsi="Arial"/>
          <w:b w:val="0"/>
        </w:rPr>
        <w:t>Формулы должны пересчитывать все три отчета. Цены и базы длительного календаря сохраняются на уровне 2026 для сравнения, кроме установленного повышения ОПВР: 4,5% во втором году и 5% с третьего. Округление до целого тенге выполняется только при выводе; точные суммы находятся в модели.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Источники, проверено 30.10.2026</w:t>
      </w:r>
    </w:p>
    <w:p>
      <w:pPr>
        <w:pStyle w:val="ListBullet"/>
      </w:pPr>
      <w:r>
        <w:rPr>
          <w:rFonts w:ascii="Arial" w:hAnsi="Arial"/>
          <w:b w:val="0"/>
        </w:rPr>
        <w:t>USA Garage: прайс (https://usagarage.kz/ceny).</w:t>
      </w:r>
    </w:p>
    <w:p>
      <w:pPr>
        <w:pStyle w:val="ListBullet"/>
      </w:pPr>
      <w:r>
        <w:rPr>
          <w:rFonts w:ascii="Arial" w:hAnsi="Arial"/>
          <w:b w:val="0"/>
        </w:rPr>
        <w:t>Алматы, решение №256 (https://old.adilet.zan.kz/rus/docs/G25R000256M).</w:t>
      </w:r>
    </w:p>
    <w:p>
      <w:pPr>
        <w:pStyle w:val="ListBullet"/>
      </w:pPr>
      <w:r>
        <w:rPr>
          <w:rFonts w:ascii="Arial" w:hAnsi="Arial"/>
          <w:b w:val="0"/>
        </w:rPr>
        <w:t>НК-2026, статьи 725–727 (https://old.adilet.zan.kz/rus/docs/K2500000214).</w:t>
      </w:r>
    </w:p>
    <w:p>
      <w:pPr>
        <w:pStyle w:val="ListBullet"/>
      </w:pPr>
      <w:r>
        <w:rPr>
          <w:rFonts w:ascii="Arial" w:hAnsi="Arial"/>
          <w:b w:val="0"/>
        </w:rPr>
        <w:t>Минфин, налоговый календарь (https://www.gov.kz/org/minfin/documents/details/998922?lang=ru).</w:t>
      </w:r>
    </w:p>
    <w:p>
      <w:pPr>
        <w:pStyle w:val="ListBullet"/>
      </w:pPr>
      <w:r>
        <w:rPr>
          <w:rFonts w:ascii="Arial" w:hAnsi="Arial"/>
          <w:b w:val="0"/>
        </w:rPr>
        <w:t>КГД, социальные платежи (https://vko.kgd.gov.kz/ru/news/socialnye-platezhi-v-respublike-kazahstan-8-160454).</w:t>
      </w:r>
    </w:p>
    <w:p>
      <w:pPr>
        <w:pStyle w:val="ListBullet"/>
      </w:pPr>
      <w:r>
        <w:rPr>
          <w:rFonts w:ascii="Arial" w:hAnsi="Arial"/>
          <w:b w:val="0"/>
        </w:rPr>
        <w:t>KMF, бизнес-кредит (https://kmf.kz/kz/business/kmf-biznes/).</w:t>
      </w:r>
    </w:p>
    <w:p>
      <w:pPr>
        <w:pStyle w:val="ListBullet"/>
      </w:pPr>
      <w:r>
        <w:rPr>
          <w:rFonts w:ascii="Arial" w:hAnsi="Arial"/>
          <w:b w:val="0"/>
        </w:rPr>
        <w:t>Kaspi QR (https://guide.kaspi.kz/partner/ru/pos/conditions/q3567).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