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Чек-лист бизнес-плана перед подачей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проверка под получателя – www.biz-plan.kz/uslugi.html#biznes-plan. Версия 30.10.2026.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Инструкция</w:t>
      </w:r>
    </w:p>
    <w:p>
      <w:pPr>
        <w:spacing w:after="120"/>
      </w:pPr>
      <w:r>
        <w:rPr>
          <w:rFonts w:ascii="Arial" w:hAnsi="Arial"/>
          <w:b w:val="0"/>
        </w:rPr>
        <w:t>Укажите проект, заявителя, получателя финансирования, название продукта и дату версии. Получите действующую форму и перечень адресата. Двадцать строк ниже – наш инструмент проверки; перечень получателя всегда важнее. Малому бизнесу в Halyk бизнес-план по минимальному перечню не нужен (раздел 2, п. 4), для гранта он обязателен.</w:t>
      </w:r>
    </w:p>
    <w:p>
      <w:pPr>
        <w:spacing w:after="120"/>
      </w:pPr>
      <w:r>
        <w:rPr>
          <w:rFonts w:ascii="Arial" w:hAnsi="Arial"/>
          <w:b w:val="0"/>
        </w:rPr>
        <w:t>Для каждой строки выберите «готово», «уточнить» или «исправить». Впишите основание: файл, дату, страницу либо ячейку модели. Назначьте ответственного и срок исправления. До подачи устраните критические разрывы по допустимости, правам, источникам финансирования и деньгам.</w:t>
      </w:r>
    </w:p>
    <w:p>
      <w:pPr>
        <w:spacing w:after="120"/>
      </w:pPr>
      <w:r>
        <w:rPr>
          <w:rFonts w:ascii="Arial" w:hAnsi="Arial"/>
          <w:b w:val="0"/>
        </w:rPr>
        <w:t>Проект: ____________________. Заявитель: ____________________. Получатель и продукт: ____________________. Версия: ____________________. Проверяющий: ____________________.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Файл / страница / ячейка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 и срок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Получатель и цель финансирования совпадают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Выбраны нужные форма и приложения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Сведения о заявителе подтверждены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равен источникам денег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У цены есть город, состав и источник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 собирается из количества и цены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Мощность и персонал выдерживают объем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Первый год отличается от устойчивой работы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Покупки включают доставку и ввод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Начисленная зарплата дополнена платежами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Файл / страница / ячейка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 и срок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Труд владельца отделен от капитала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и замена не посчитаны дважды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Налоговый режим подходит деятельности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Запасы и отсрочки обеспечены деньгами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В кредите есть тело, проценты и льгота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Прибыль не перепутана с выплатой владельцу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Риски пересчитаны, а не перечислены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Приложения подтверждают основные строки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19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Резюме, таблицы и приложения совпадают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Пакет открывается и передается одной версией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Контрольные суммы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Метод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Поле результата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Свои + привлеченные = полный бюджет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Сумма количества × цены по позициям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Мощность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× длительность ≤ доступные часы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Запас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Начало + закупки − расход = конец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Начало + поступления − платежи = конец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Долг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Начало + выдача − тело погашения = конец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Владелец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Доступный поток − оценка труда − резерв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Возврат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Накопленный поток после труда против вложений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Платежи работодателя сверх оклада 300 000 ₸ (2026)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Режим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ОПВР 3,5%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СО 5%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ООСМС 3%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Социальный налог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Полная стоимость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Упрощенка (ИП или ТОО)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10 500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13 500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333 000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ИП на общем режиме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10 500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13 500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9 000</w:t>
            </w:r>
          </w:p>
        </w:tc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4 325 (1 МРП)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337 325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ТОО на общем режиме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10 500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13 500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9 000</w:t>
            </w:r>
          </w:p>
        </w:tc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15 840 (6% от 264 000)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348 840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Удержания работника (ОПВ 10%, ВОСМС 2%, ИПН) уже внутри оклада, второй раз их не прибавляйте. Платежи ИП за себя – минимум 21 675 ₸ в месяц: ОПВ 8 500 + ОПВР 2 975 + СО 4 250 + ВОСМС 5 950.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Проверка месяца и DSCR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Строка</w:t>
            </w:r>
          </w:p>
        </w:tc>
        <w:tc>
          <w:tcPr>
            <w:tcW w:type="dxa" w:w="4986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₸ в месяц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498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Переменные расходы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(800 000)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 расходы</w:t>
            </w:r>
          </w:p>
        </w:tc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(700 000)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3%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(60 000)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ИП за себя</w:t>
            </w:r>
          </w:p>
        </w:tc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(21 675)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Зарплата владельца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(200 000)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Поток до платежа банку</w:t>
            </w:r>
          </w:p>
        </w:tc>
        <w:tc>
          <w:tcPr>
            <w:tcW w:type="dxa" w:w="498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218 325</w:t>
            </w:r>
          </w:p>
        </w:tc>
      </w:tr>
      <w:tr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 банку</w:t>
            </w:r>
          </w:p>
        </w:tc>
        <w:tc>
          <w:tcPr>
            <w:tcW w:type="dxa" w:w="4986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(250 000)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Arial" w:hAnsi="Arial"/>
                <w:b w:val="0"/>
                <w:sz w:val="18"/>
              </w:rPr>
              <w:t>Остаток</w:t>
            </w:r>
          </w:p>
        </w:tc>
        <w:tc>
          <w:tcPr>
            <w:tcW w:type="dxa" w:w="498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−31 675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DSCR = 218 325 / 250 000 = 0,87. Для DSCR 1,3 поток должен быть не меньше 325 000 ₸.</w:t>
      </w:r>
    </w:p>
    <w:p>
      <w:pPr>
        <w:spacing w:after="120"/>
      </w:pPr>
      <w:r>
        <w:rPr>
          <w:rFonts w:ascii="Arial" w:hAnsi="Arial"/>
          <w:b w:val="0"/>
        </w:rPr>
        <w:t>Ваш проект: выручка ________ − расходы ________ − налог ________ − платежи ИП ________ − зарплата владельца ________ = поток ________; платеж банку ________; DSCR ________.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Журнал исправлений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Замечание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меняем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Ответственный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Проверено повторно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После исправлений обновите итоговые суммы резюме, финансовой модели, заявления и сметы. Проверьте открытие файлов и реестр приложений. Сохраните предыдущую версию отдельно. При денежном дефиците укажите подтвержденный источник пополнения и цену финансирования.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Основания</w:t>
      </w:r>
    </w:p>
    <w:p>
      <w:pPr>
        <w:spacing w:after="120"/>
      </w:pPr>
      <w:r>
        <w:rPr>
          <w:rFonts w:ascii="Arial" w:hAnsi="Arial"/>
          <w:b w:val="0"/>
        </w:rPr>
        <w:t>Проверены 30.10.2026: Halyk – минимальный перечень ИП и требования к бизнес-плану, https://halykbank.kz/storage/app/media/2023/Documents/1/IP_Doc_Rus.pdf ; «Даму» – добровольность консультанта и бесплатные консультации, https://damu.kz/ru/ . Социальный налог 2026 – ДГД по Костанайской области, gov.kz, 14.01.2026; база СО – gfss.kz; ставки взносов – база фактов «Бизнес Проект», раздел 3.1. Текущую форму гранта или банковского продукта получите до заполнения пакета.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